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C8EB5" w14:textId="77777777" w:rsidR="0021760B" w:rsidRDefault="00151460" w:rsidP="00E41757">
      <w:pPr>
        <w:jc w:val="center"/>
        <w:rPr>
          <w:rFonts w:ascii="Calibri" w:hAnsi="Calibri" w:cs="Calibri"/>
          <w:b/>
          <w:bCs/>
          <w:sz w:val="22"/>
          <w:szCs w:val="22"/>
        </w:rPr>
      </w:pPr>
      <w:bookmarkStart w:id="0" w:name="_GoBack"/>
      <w:bookmarkEnd w:id="0"/>
      <w:r w:rsidRPr="00151460">
        <w:rPr>
          <w:rFonts w:ascii="Calibri" w:hAnsi="Calibri" w:cs="Calibri"/>
          <w:b/>
          <w:bCs/>
          <w:sz w:val="22"/>
          <w:szCs w:val="22"/>
        </w:rPr>
        <w:t>Prince Mahidol Award Conference</w:t>
      </w:r>
      <w:r>
        <w:rPr>
          <w:rFonts w:ascii="Calibri" w:hAnsi="Calibri" w:cs="Calibri"/>
          <w:b/>
          <w:bCs/>
          <w:sz w:val="22"/>
          <w:szCs w:val="22"/>
        </w:rPr>
        <w:t xml:space="preserve"> 2018</w:t>
      </w:r>
    </w:p>
    <w:p w14:paraId="384BB4D5" w14:textId="77777777" w:rsidR="007D2639" w:rsidRDefault="007D2639" w:rsidP="00E41757">
      <w:pPr>
        <w:jc w:val="center"/>
        <w:rPr>
          <w:rFonts w:ascii="Calibri" w:hAnsi="Calibri" w:cs="Calibri"/>
          <w:b/>
          <w:bCs/>
          <w:sz w:val="22"/>
          <w:szCs w:val="22"/>
        </w:rPr>
      </w:pPr>
      <w:r>
        <w:rPr>
          <w:rFonts w:ascii="Calibri" w:hAnsi="Calibri" w:cs="Calibri"/>
          <w:b/>
          <w:bCs/>
          <w:sz w:val="22"/>
          <w:szCs w:val="22"/>
        </w:rPr>
        <w:t>Bangkok Thailand, 29 January – 3 February 2018</w:t>
      </w:r>
    </w:p>
    <w:p w14:paraId="4B652B9E" w14:textId="77777777" w:rsidR="00151460" w:rsidRPr="0001679C" w:rsidRDefault="00151460" w:rsidP="00E41757">
      <w:pPr>
        <w:jc w:val="center"/>
        <w:rPr>
          <w:rFonts w:ascii="Calibri" w:hAnsi="Calibri" w:cs="Calibri"/>
          <w:b/>
          <w:bCs/>
          <w:sz w:val="22"/>
          <w:szCs w:val="22"/>
        </w:rPr>
      </w:pPr>
    </w:p>
    <w:p w14:paraId="034716E2" w14:textId="77777777" w:rsidR="00D0076B" w:rsidRDefault="00734F6C" w:rsidP="00E41757">
      <w:pPr>
        <w:rPr>
          <w:rFonts w:ascii="Calibri" w:hAnsi="Calibri" w:cs="Calibri"/>
          <w:b/>
          <w:bCs/>
          <w:caps/>
          <w:sz w:val="22"/>
          <w:szCs w:val="22"/>
        </w:rPr>
      </w:pPr>
      <w:r w:rsidRPr="0001679C">
        <w:rPr>
          <w:rFonts w:ascii="Calibri" w:hAnsi="Calibri" w:cs="Calibri"/>
          <w:b/>
          <w:bCs/>
          <w:caps/>
          <w:sz w:val="22"/>
          <w:szCs w:val="22"/>
        </w:rPr>
        <w:t>SESSION:</w:t>
      </w:r>
      <w:r w:rsidR="00F15AC3">
        <w:rPr>
          <w:rFonts w:ascii="Calibri" w:hAnsi="Calibri" w:cs="Calibri"/>
          <w:b/>
          <w:bCs/>
          <w:caps/>
          <w:sz w:val="22"/>
          <w:szCs w:val="22"/>
        </w:rPr>
        <w:t xml:space="preserve"> Sub theme three</w:t>
      </w:r>
      <w:r w:rsidR="00D0076B">
        <w:rPr>
          <w:rFonts w:ascii="Calibri" w:hAnsi="Calibri" w:cs="Calibri"/>
          <w:b/>
          <w:bCs/>
          <w:caps/>
          <w:sz w:val="22"/>
          <w:szCs w:val="22"/>
        </w:rPr>
        <w:t xml:space="preserve"> </w:t>
      </w:r>
    </w:p>
    <w:p w14:paraId="59457E58" w14:textId="77777777" w:rsidR="00734F6C" w:rsidRDefault="00D0076B" w:rsidP="00E41757">
      <w:pPr>
        <w:rPr>
          <w:rFonts w:ascii="Calibri" w:hAnsi="Calibri" w:cs="Calibri"/>
          <w:b/>
          <w:bCs/>
          <w:caps/>
          <w:sz w:val="22"/>
          <w:szCs w:val="22"/>
        </w:rPr>
      </w:pPr>
      <w:r>
        <w:rPr>
          <w:rFonts w:ascii="Calibri" w:hAnsi="Calibri" w:cs="Calibri"/>
          <w:b/>
          <w:bCs/>
          <w:caps/>
          <w:sz w:val="22"/>
          <w:szCs w:val="22"/>
        </w:rPr>
        <w:t>PARALLEL SESSION 4.4</w:t>
      </w:r>
      <w:r w:rsidR="00B92AA7">
        <w:rPr>
          <w:rFonts w:ascii="Calibri" w:hAnsi="Calibri" w:cs="Calibri"/>
          <w:b/>
          <w:bCs/>
          <w:caps/>
          <w:sz w:val="22"/>
          <w:szCs w:val="22"/>
        </w:rPr>
        <w:t xml:space="preserve"> </w:t>
      </w:r>
      <w:r w:rsidR="00B92AA7">
        <w:rPr>
          <w:rFonts w:ascii="Calibri" w:hAnsi="Calibri" w:cs="Calibri"/>
          <w:b/>
          <w:bCs/>
          <w:caps/>
          <w:sz w:val="22"/>
          <w:szCs w:val="22"/>
        </w:rPr>
        <w:tab/>
      </w:r>
    </w:p>
    <w:p w14:paraId="5A0CD02F" w14:textId="77777777" w:rsidR="008147FC" w:rsidRPr="0001679C" w:rsidRDefault="008147FC" w:rsidP="00E41757">
      <w:pPr>
        <w:rPr>
          <w:rFonts w:ascii="Calibri" w:hAnsi="Calibri" w:cs="Calibri"/>
          <w:b/>
          <w:bCs/>
          <w:caps/>
          <w:sz w:val="22"/>
          <w:szCs w:val="22"/>
        </w:rPr>
      </w:pPr>
    </w:p>
    <w:p w14:paraId="389B803A" w14:textId="77777777" w:rsidR="005547A7" w:rsidRDefault="003C4A28" w:rsidP="00E41757">
      <w:pPr>
        <w:rPr>
          <w:rFonts w:ascii="Calibri" w:hAnsi="Calibri" w:cs="Calibri"/>
          <w:sz w:val="22"/>
          <w:szCs w:val="22"/>
        </w:rPr>
      </w:pPr>
      <w:r w:rsidRPr="0001679C">
        <w:rPr>
          <w:rFonts w:ascii="Calibri" w:hAnsi="Calibri" w:cs="Calibri"/>
          <w:b/>
          <w:bCs/>
          <w:caps/>
          <w:sz w:val="22"/>
          <w:szCs w:val="22"/>
        </w:rPr>
        <w:t>Title</w:t>
      </w:r>
      <w:r w:rsidR="00A33145" w:rsidRPr="0001679C">
        <w:rPr>
          <w:rFonts w:ascii="Calibri" w:hAnsi="Calibri" w:cs="Calibri"/>
          <w:b/>
          <w:bCs/>
          <w:sz w:val="22"/>
          <w:szCs w:val="22"/>
        </w:rPr>
        <w:t>:</w:t>
      </w:r>
      <w:r w:rsidR="00F76757" w:rsidRPr="0001679C">
        <w:rPr>
          <w:rFonts w:ascii="Calibri" w:hAnsi="Calibri" w:cs="Calibri"/>
          <w:sz w:val="22"/>
          <w:szCs w:val="22"/>
        </w:rPr>
        <w:t xml:space="preserve"> </w:t>
      </w:r>
      <w:r w:rsidR="00F15AC3">
        <w:rPr>
          <w:rFonts w:ascii="Calibri" w:hAnsi="Calibri" w:cs="Calibri"/>
          <w:sz w:val="22"/>
          <w:szCs w:val="22"/>
        </w:rPr>
        <w:t xml:space="preserve"> </w:t>
      </w:r>
      <w:r w:rsidR="00151460">
        <w:rPr>
          <w:rFonts w:ascii="Calibri" w:hAnsi="Calibri" w:cs="Calibri"/>
          <w:sz w:val="22"/>
          <w:szCs w:val="22"/>
        </w:rPr>
        <w:t>Sustainable and ethical animal-source food systems: are they possible?</w:t>
      </w:r>
    </w:p>
    <w:p w14:paraId="40931327" w14:textId="77777777" w:rsidR="00D5551F" w:rsidRDefault="00D5551F" w:rsidP="00E41757">
      <w:pPr>
        <w:rPr>
          <w:rFonts w:ascii="Calibri" w:hAnsi="Calibri" w:cs="Calibri"/>
          <w:sz w:val="22"/>
          <w:szCs w:val="22"/>
        </w:rPr>
      </w:pPr>
    </w:p>
    <w:p w14:paraId="65529017" w14:textId="77777777" w:rsidR="00151460" w:rsidRDefault="00151460" w:rsidP="00E41757">
      <w:pPr>
        <w:rPr>
          <w:rFonts w:ascii="Calibri" w:hAnsi="Calibri" w:cs="Calibri"/>
          <w:bCs/>
          <w:sz w:val="22"/>
          <w:szCs w:val="22"/>
        </w:rPr>
      </w:pPr>
      <w:r>
        <w:rPr>
          <w:rFonts w:ascii="Calibri" w:hAnsi="Calibri" w:cs="Calibri"/>
          <w:b/>
          <w:caps/>
          <w:sz w:val="22"/>
          <w:szCs w:val="22"/>
        </w:rPr>
        <w:t>AUTHORS</w:t>
      </w:r>
      <w:r w:rsidR="00381B3C" w:rsidRPr="0001679C">
        <w:rPr>
          <w:rFonts w:ascii="Calibri" w:hAnsi="Calibri" w:cs="Calibri"/>
          <w:b/>
          <w:sz w:val="22"/>
          <w:szCs w:val="22"/>
        </w:rPr>
        <w:t xml:space="preserve">: </w:t>
      </w:r>
      <w:r>
        <w:rPr>
          <w:rFonts w:ascii="Calibri" w:hAnsi="Calibri" w:cs="Calibri"/>
          <w:bCs/>
          <w:sz w:val="22"/>
          <w:szCs w:val="22"/>
        </w:rPr>
        <w:t>Robyn Alders</w:t>
      </w:r>
      <w:r w:rsidR="00F20CC1" w:rsidRPr="00F20CC1">
        <w:rPr>
          <w:rFonts w:ascii="Calibri" w:hAnsi="Calibri" w:cs="Calibri"/>
          <w:bCs/>
          <w:sz w:val="22"/>
          <w:szCs w:val="22"/>
          <w:vertAlign w:val="superscript"/>
        </w:rPr>
        <w:t>1,2,3</w:t>
      </w:r>
      <w:r>
        <w:rPr>
          <w:rFonts w:ascii="Calibri" w:hAnsi="Calibri" w:cs="Calibri"/>
          <w:bCs/>
          <w:sz w:val="22"/>
          <w:szCs w:val="22"/>
        </w:rPr>
        <w:t xml:space="preserve"> and Marisa Mitchell</w:t>
      </w:r>
      <w:r w:rsidR="00F20CC1" w:rsidRPr="00F20CC1">
        <w:rPr>
          <w:rFonts w:ascii="Calibri" w:hAnsi="Calibri" w:cs="Calibri"/>
          <w:bCs/>
          <w:sz w:val="22"/>
          <w:szCs w:val="22"/>
          <w:vertAlign w:val="superscript"/>
        </w:rPr>
        <w:t>2,3,4</w:t>
      </w:r>
    </w:p>
    <w:p w14:paraId="2B6EA2CA" w14:textId="77777777" w:rsidR="00151460" w:rsidRDefault="00151460" w:rsidP="00E41757">
      <w:pPr>
        <w:rPr>
          <w:rFonts w:ascii="Calibri" w:hAnsi="Calibri" w:cs="Calibri"/>
          <w:bCs/>
          <w:sz w:val="22"/>
          <w:szCs w:val="22"/>
        </w:rPr>
      </w:pPr>
    </w:p>
    <w:p w14:paraId="4E67F074" w14:textId="77777777" w:rsidR="00F20CC1" w:rsidRDefault="00151460" w:rsidP="00E41757">
      <w:pPr>
        <w:rPr>
          <w:rFonts w:ascii="Calibri" w:hAnsi="Calibri" w:cs="Calibri"/>
          <w:bCs/>
          <w:sz w:val="22"/>
          <w:szCs w:val="22"/>
        </w:rPr>
      </w:pPr>
      <w:r w:rsidRPr="00151460">
        <w:rPr>
          <w:rFonts w:ascii="Calibri" w:hAnsi="Calibri" w:cs="Calibri"/>
          <w:b/>
          <w:bCs/>
          <w:sz w:val="22"/>
          <w:szCs w:val="22"/>
        </w:rPr>
        <w:t>AFFILIATIONS:</w:t>
      </w:r>
      <w:r>
        <w:rPr>
          <w:rFonts w:ascii="Calibri" w:hAnsi="Calibri" w:cs="Calibri"/>
          <w:bCs/>
          <w:sz w:val="22"/>
          <w:szCs w:val="22"/>
        </w:rPr>
        <w:t xml:space="preserve"> </w:t>
      </w:r>
    </w:p>
    <w:p w14:paraId="04808084" w14:textId="77777777" w:rsidR="00F20CC1" w:rsidRDefault="00151460" w:rsidP="00DA3B07">
      <w:pPr>
        <w:numPr>
          <w:ilvl w:val="0"/>
          <w:numId w:val="20"/>
        </w:numPr>
        <w:rPr>
          <w:rFonts w:ascii="Calibri" w:hAnsi="Calibri" w:cs="Calibri"/>
          <w:bCs/>
          <w:sz w:val="22"/>
          <w:szCs w:val="22"/>
        </w:rPr>
      </w:pPr>
      <w:r>
        <w:rPr>
          <w:rFonts w:ascii="Calibri" w:hAnsi="Calibri" w:cs="Calibri"/>
          <w:bCs/>
          <w:sz w:val="22"/>
          <w:szCs w:val="22"/>
        </w:rPr>
        <w:t xml:space="preserve">Faculty of Science, </w:t>
      </w:r>
      <w:r w:rsidR="00DA3B07" w:rsidRPr="00DA3B07">
        <w:rPr>
          <w:rFonts w:ascii="Calibri" w:hAnsi="Calibri" w:cs="Calibri"/>
          <w:bCs/>
          <w:sz w:val="22"/>
          <w:szCs w:val="22"/>
        </w:rPr>
        <w:t>University of Sydney, NSW 2006 Australia</w:t>
      </w:r>
    </w:p>
    <w:p w14:paraId="50CEEA6B" w14:textId="77777777" w:rsidR="00F20CC1" w:rsidRDefault="00151460" w:rsidP="00DA3B07">
      <w:pPr>
        <w:numPr>
          <w:ilvl w:val="0"/>
          <w:numId w:val="20"/>
        </w:numPr>
        <w:rPr>
          <w:rFonts w:ascii="Calibri" w:hAnsi="Calibri" w:cs="Calibri"/>
          <w:bCs/>
          <w:sz w:val="22"/>
          <w:szCs w:val="22"/>
        </w:rPr>
      </w:pPr>
      <w:r>
        <w:rPr>
          <w:rFonts w:ascii="Calibri" w:hAnsi="Calibri" w:cs="Calibri"/>
          <w:bCs/>
          <w:sz w:val="22"/>
          <w:szCs w:val="22"/>
        </w:rPr>
        <w:t>Charles Perkins Centre</w:t>
      </w:r>
      <w:r w:rsidR="00DA3B07">
        <w:rPr>
          <w:rFonts w:ascii="Calibri" w:hAnsi="Calibri" w:cs="Calibri"/>
          <w:bCs/>
          <w:sz w:val="22"/>
          <w:szCs w:val="22"/>
        </w:rPr>
        <w:t>,</w:t>
      </w:r>
      <w:r>
        <w:rPr>
          <w:rFonts w:ascii="Calibri" w:hAnsi="Calibri" w:cs="Calibri"/>
          <w:bCs/>
          <w:sz w:val="22"/>
          <w:szCs w:val="22"/>
        </w:rPr>
        <w:t xml:space="preserve"> </w:t>
      </w:r>
      <w:r w:rsidR="00DA3B07" w:rsidRPr="00DA3B07">
        <w:rPr>
          <w:rFonts w:ascii="Calibri" w:hAnsi="Calibri" w:cs="Calibri"/>
          <w:bCs/>
          <w:sz w:val="22"/>
          <w:szCs w:val="22"/>
        </w:rPr>
        <w:t>University of Sydney, NSW 2006 Australia</w:t>
      </w:r>
    </w:p>
    <w:p w14:paraId="2D03F9FE" w14:textId="77777777" w:rsidR="00F20CC1" w:rsidRDefault="00151460" w:rsidP="00DA3B07">
      <w:pPr>
        <w:numPr>
          <w:ilvl w:val="0"/>
          <w:numId w:val="20"/>
        </w:numPr>
        <w:rPr>
          <w:rFonts w:ascii="Calibri" w:hAnsi="Calibri" w:cs="Calibri"/>
          <w:bCs/>
          <w:sz w:val="22"/>
          <w:szCs w:val="22"/>
        </w:rPr>
      </w:pPr>
      <w:r>
        <w:rPr>
          <w:rFonts w:ascii="Calibri" w:hAnsi="Calibri" w:cs="Calibri"/>
          <w:bCs/>
          <w:sz w:val="22"/>
          <w:szCs w:val="22"/>
        </w:rPr>
        <w:t xml:space="preserve">Marie Bashir Institute, </w:t>
      </w:r>
      <w:r w:rsidR="00DA3B07" w:rsidRPr="00DA3B07">
        <w:rPr>
          <w:rFonts w:ascii="Calibri" w:hAnsi="Calibri" w:cs="Calibri"/>
          <w:bCs/>
          <w:sz w:val="22"/>
          <w:szCs w:val="22"/>
        </w:rPr>
        <w:t>University of Sydney, NSW 2006 Australia</w:t>
      </w:r>
    </w:p>
    <w:p w14:paraId="0C9A4710" w14:textId="77777777" w:rsidR="00151460" w:rsidRDefault="00F20CC1" w:rsidP="00F20CC1">
      <w:pPr>
        <w:numPr>
          <w:ilvl w:val="0"/>
          <w:numId w:val="20"/>
        </w:numPr>
        <w:rPr>
          <w:rFonts w:ascii="Calibri" w:hAnsi="Calibri" w:cs="Calibri"/>
          <w:bCs/>
          <w:sz w:val="22"/>
          <w:szCs w:val="22"/>
        </w:rPr>
      </w:pPr>
      <w:r>
        <w:rPr>
          <w:rFonts w:ascii="Calibri" w:hAnsi="Calibri" w:cs="Calibri"/>
          <w:bCs/>
          <w:sz w:val="22"/>
          <w:szCs w:val="22"/>
        </w:rPr>
        <w:t xml:space="preserve">Faculty of Arts and Social Sciences, </w:t>
      </w:r>
      <w:r w:rsidR="00151460">
        <w:rPr>
          <w:rFonts w:ascii="Calibri" w:hAnsi="Calibri" w:cs="Calibri"/>
          <w:bCs/>
          <w:sz w:val="22"/>
          <w:szCs w:val="22"/>
        </w:rPr>
        <w:t>University of Sydney, NSW 2006 Australia</w:t>
      </w:r>
    </w:p>
    <w:p w14:paraId="15A4F6B9" w14:textId="77777777" w:rsidR="00151460" w:rsidRDefault="00151460" w:rsidP="00E41757">
      <w:pPr>
        <w:rPr>
          <w:rFonts w:ascii="Calibri" w:hAnsi="Calibri" w:cs="Calibri"/>
          <w:bCs/>
          <w:sz w:val="22"/>
          <w:szCs w:val="22"/>
        </w:rPr>
      </w:pPr>
    </w:p>
    <w:p w14:paraId="7499DCBD" w14:textId="77777777" w:rsidR="00381B3C" w:rsidRPr="0001679C" w:rsidRDefault="00151460" w:rsidP="00E41757">
      <w:pPr>
        <w:rPr>
          <w:rFonts w:ascii="Calibri" w:hAnsi="Calibri" w:cs="Calibri"/>
          <w:bCs/>
          <w:sz w:val="22"/>
          <w:szCs w:val="22"/>
        </w:rPr>
      </w:pPr>
      <w:r>
        <w:rPr>
          <w:rFonts w:ascii="Calibri" w:hAnsi="Calibri" w:cs="Calibri"/>
          <w:bCs/>
          <w:sz w:val="22"/>
          <w:szCs w:val="22"/>
        </w:rPr>
        <w:t xml:space="preserve">Contact email: </w:t>
      </w:r>
      <w:hyperlink r:id="rId9" w:history="1">
        <w:r w:rsidRPr="0035182E">
          <w:rPr>
            <w:rStyle w:val="Hyperlink"/>
            <w:rFonts w:ascii="Calibri" w:hAnsi="Calibri" w:cs="Calibri"/>
            <w:bCs/>
            <w:sz w:val="22"/>
            <w:szCs w:val="22"/>
          </w:rPr>
          <w:t>robyn.alders@sydney.edu.au</w:t>
        </w:r>
      </w:hyperlink>
      <w:r>
        <w:rPr>
          <w:rFonts w:ascii="Calibri" w:hAnsi="Calibri" w:cs="Calibri"/>
          <w:bCs/>
          <w:sz w:val="22"/>
          <w:szCs w:val="22"/>
        </w:rPr>
        <w:t xml:space="preserve"> </w:t>
      </w:r>
    </w:p>
    <w:p w14:paraId="4DB62E14" w14:textId="77777777" w:rsidR="002B6F91" w:rsidRPr="00151460" w:rsidRDefault="002B6F91" w:rsidP="00E41757">
      <w:pPr>
        <w:rPr>
          <w:rFonts w:ascii="Calibri" w:hAnsi="Calibri" w:cs="Calibri"/>
          <w:sz w:val="22"/>
          <w:szCs w:val="22"/>
        </w:rPr>
      </w:pPr>
    </w:p>
    <w:p w14:paraId="61129300" w14:textId="77777777" w:rsidR="00151460" w:rsidRPr="00903FEB" w:rsidRDefault="00903FEB" w:rsidP="00E41757">
      <w:pPr>
        <w:rPr>
          <w:rFonts w:ascii="Calibri" w:hAnsi="Calibri" w:cs="Calibri"/>
          <w:b/>
          <w:sz w:val="22"/>
          <w:szCs w:val="22"/>
        </w:rPr>
      </w:pPr>
      <w:r w:rsidRPr="00903FEB">
        <w:rPr>
          <w:rFonts w:ascii="Calibri" w:hAnsi="Calibri" w:cs="Calibri"/>
          <w:b/>
          <w:sz w:val="22"/>
          <w:szCs w:val="22"/>
        </w:rPr>
        <w:t>Abstract</w:t>
      </w:r>
    </w:p>
    <w:p w14:paraId="209E49C2" w14:textId="1F190B82" w:rsidR="00903FEB" w:rsidRPr="00903FEB" w:rsidRDefault="00EF3844" w:rsidP="00903FEB">
      <w:pPr>
        <w:rPr>
          <w:rFonts w:ascii="Calibri" w:hAnsi="Calibri" w:cs="Calibri"/>
          <w:sz w:val="22"/>
          <w:szCs w:val="22"/>
        </w:rPr>
      </w:pPr>
      <w:r w:rsidRPr="00EF3844">
        <w:rPr>
          <w:rFonts w:ascii="Calibri" w:hAnsi="Calibri" w:cs="Calibri"/>
          <w:sz w:val="22"/>
          <w:szCs w:val="22"/>
        </w:rPr>
        <w:t>Supplying sustainable, optimal, ethical and safe nutrition for more than 8 billion people and 27 billion dependent livestock predicted by 2050 is among the most important and complex of human responsibilities</w:t>
      </w:r>
      <w:r w:rsidR="00903FEB" w:rsidRPr="00903FEB">
        <w:rPr>
          <w:rFonts w:ascii="Calibri" w:hAnsi="Calibri" w:cs="Calibri"/>
          <w:sz w:val="22"/>
          <w:szCs w:val="22"/>
        </w:rPr>
        <w:t xml:space="preserve">. </w:t>
      </w:r>
      <w:r w:rsidR="008147FC">
        <w:rPr>
          <w:rFonts w:ascii="Calibri" w:hAnsi="Calibri" w:cs="Calibri"/>
          <w:sz w:val="22"/>
          <w:szCs w:val="22"/>
        </w:rPr>
        <w:t xml:space="preserve">During </w:t>
      </w:r>
      <w:r w:rsidR="00903FEB" w:rsidRPr="00903FEB">
        <w:rPr>
          <w:rFonts w:ascii="Calibri" w:hAnsi="Calibri" w:cs="Calibri"/>
          <w:sz w:val="22"/>
          <w:szCs w:val="22"/>
        </w:rPr>
        <w:t xml:space="preserve">the past 10,000 years, the growing human population has been sustained through the domestication of plant and animal species for use as food sources and the </w:t>
      </w:r>
      <w:r w:rsidRPr="00903FEB">
        <w:rPr>
          <w:rFonts w:ascii="Calibri" w:hAnsi="Calibri" w:cs="Calibri"/>
          <w:sz w:val="22"/>
          <w:szCs w:val="22"/>
        </w:rPr>
        <w:t>industrialization</w:t>
      </w:r>
      <w:r w:rsidR="00903FEB" w:rsidRPr="00903FEB">
        <w:rPr>
          <w:rFonts w:ascii="Calibri" w:hAnsi="Calibri" w:cs="Calibri"/>
          <w:sz w:val="22"/>
          <w:szCs w:val="22"/>
        </w:rPr>
        <w:t xml:space="preserve"> of agricultural systems, without taking natural capital into account. A review of this strategy suggests that our modern</w:t>
      </w:r>
      <w:r>
        <w:rPr>
          <w:rFonts w:ascii="Calibri" w:hAnsi="Calibri" w:cs="Calibri"/>
          <w:sz w:val="22"/>
          <w:szCs w:val="22"/>
        </w:rPr>
        <w:t xml:space="preserve"> food</w:t>
      </w:r>
      <w:r w:rsidR="00903FEB" w:rsidRPr="00903FEB">
        <w:rPr>
          <w:rFonts w:ascii="Calibri" w:hAnsi="Calibri" w:cs="Calibri"/>
          <w:sz w:val="22"/>
          <w:szCs w:val="22"/>
        </w:rPr>
        <w:t xml:space="preserve"> systems are not necessarily optimal and, in som</w:t>
      </w:r>
      <w:r>
        <w:rPr>
          <w:rFonts w:ascii="Calibri" w:hAnsi="Calibri" w:cs="Calibri"/>
          <w:sz w:val="22"/>
          <w:szCs w:val="22"/>
        </w:rPr>
        <w:t>e instances, are undermining</w:t>
      </w:r>
      <w:r w:rsidR="00903FEB" w:rsidRPr="00903FEB">
        <w:rPr>
          <w:rFonts w:ascii="Calibri" w:hAnsi="Calibri" w:cs="Calibri"/>
          <w:sz w:val="22"/>
          <w:szCs w:val="22"/>
        </w:rPr>
        <w:t xml:space="preserve"> long-term food</w:t>
      </w:r>
      <w:r>
        <w:rPr>
          <w:rFonts w:ascii="Calibri" w:hAnsi="Calibri" w:cs="Calibri"/>
          <w:sz w:val="22"/>
          <w:szCs w:val="22"/>
        </w:rPr>
        <w:t xml:space="preserve"> and nutrition</w:t>
      </w:r>
      <w:r w:rsidR="00903FEB" w:rsidRPr="00903FEB">
        <w:rPr>
          <w:rFonts w:ascii="Calibri" w:hAnsi="Calibri" w:cs="Calibri"/>
          <w:sz w:val="22"/>
          <w:szCs w:val="22"/>
        </w:rPr>
        <w:t xml:space="preserve"> security and</w:t>
      </w:r>
      <w:r w:rsidR="00945E20">
        <w:rPr>
          <w:rFonts w:ascii="Calibri" w:hAnsi="Calibri" w:cs="Calibri"/>
          <w:sz w:val="22"/>
          <w:szCs w:val="22"/>
        </w:rPr>
        <w:t xml:space="preserve"> the</w:t>
      </w:r>
      <w:r w:rsidR="00903FEB" w:rsidRPr="00903FEB">
        <w:rPr>
          <w:rFonts w:ascii="Calibri" w:hAnsi="Calibri" w:cs="Calibri"/>
          <w:sz w:val="22"/>
          <w:szCs w:val="22"/>
        </w:rPr>
        <w:t xml:space="preserve"> health of people and the planet.</w:t>
      </w:r>
    </w:p>
    <w:p w14:paraId="73805A62" w14:textId="77777777" w:rsidR="00903FEB" w:rsidRPr="00903FEB" w:rsidRDefault="00903FEB" w:rsidP="00903FEB">
      <w:pPr>
        <w:rPr>
          <w:rFonts w:ascii="Calibri" w:hAnsi="Calibri" w:cs="Calibri"/>
          <w:sz w:val="22"/>
          <w:szCs w:val="22"/>
        </w:rPr>
      </w:pPr>
    </w:p>
    <w:p w14:paraId="1E1869AC" w14:textId="2E0620DC" w:rsidR="00903FEB" w:rsidRDefault="00903FEB" w:rsidP="00903FEB">
      <w:pPr>
        <w:rPr>
          <w:rFonts w:ascii="Calibri" w:hAnsi="Calibri" w:cs="Calibri"/>
          <w:sz w:val="22"/>
          <w:szCs w:val="22"/>
        </w:rPr>
      </w:pPr>
      <w:r w:rsidRPr="00903FEB">
        <w:rPr>
          <w:rFonts w:ascii="Calibri" w:hAnsi="Calibri" w:cs="Calibri"/>
          <w:sz w:val="22"/>
          <w:szCs w:val="22"/>
        </w:rPr>
        <w:t xml:space="preserve">Intensification of livestock production systems has steadily increased since the mid-1880s and </w:t>
      </w:r>
      <w:r w:rsidR="008147FC">
        <w:rPr>
          <w:rFonts w:ascii="Calibri" w:hAnsi="Calibri" w:cs="Calibri"/>
          <w:sz w:val="22"/>
          <w:szCs w:val="22"/>
        </w:rPr>
        <w:t xml:space="preserve">capital-intensive integrated industrial production systems </w:t>
      </w:r>
      <w:r w:rsidRPr="00903FEB">
        <w:rPr>
          <w:rFonts w:ascii="Calibri" w:hAnsi="Calibri" w:cs="Calibri"/>
          <w:sz w:val="22"/>
          <w:szCs w:val="22"/>
        </w:rPr>
        <w:t>now dominate global livestock food systems. I</w:t>
      </w:r>
      <w:r w:rsidR="008147FC">
        <w:rPr>
          <w:rFonts w:ascii="Calibri" w:hAnsi="Calibri" w:cs="Calibri"/>
          <w:sz w:val="22"/>
          <w:szCs w:val="22"/>
        </w:rPr>
        <w:t xml:space="preserve">ntensification </w:t>
      </w:r>
      <w:r w:rsidRPr="00903FEB">
        <w:rPr>
          <w:rFonts w:ascii="Calibri" w:hAnsi="Calibri" w:cs="Calibri"/>
          <w:sz w:val="22"/>
          <w:szCs w:val="22"/>
        </w:rPr>
        <w:t>has contributed to the emergence, spread and maintenance of new disease agents,</w:t>
      </w:r>
      <w:r w:rsidR="00945E20">
        <w:rPr>
          <w:rFonts w:ascii="Calibri" w:hAnsi="Calibri" w:cs="Calibri"/>
          <w:sz w:val="22"/>
          <w:szCs w:val="22"/>
        </w:rPr>
        <w:t xml:space="preserve"> chang</w:t>
      </w:r>
      <w:r w:rsidR="008147FC">
        <w:rPr>
          <w:rFonts w:ascii="Calibri" w:hAnsi="Calibri" w:cs="Calibri"/>
          <w:sz w:val="22"/>
          <w:szCs w:val="22"/>
        </w:rPr>
        <w:t xml:space="preserve">ed the </w:t>
      </w:r>
      <w:r w:rsidR="00945E20">
        <w:rPr>
          <w:rFonts w:ascii="Calibri" w:hAnsi="Calibri" w:cs="Calibri"/>
          <w:sz w:val="22"/>
          <w:szCs w:val="22"/>
        </w:rPr>
        <w:t>nutritional profiles of animal-source food</w:t>
      </w:r>
      <w:r w:rsidR="008147FC">
        <w:rPr>
          <w:rFonts w:ascii="Calibri" w:hAnsi="Calibri" w:cs="Calibri"/>
          <w:sz w:val="22"/>
          <w:szCs w:val="22"/>
        </w:rPr>
        <w:t>s,</w:t>
      </w:r>
      <w:r w:rsidRPr="00903FEB">
        <w:rPr>
          <w:rFonts w:ascii="Calibri" w:hAnsi="Calibri" w:cs="Calibri"/>
          <w:sz w:val="22"/>
          <w:szCs w:val="22"/>
        </w:rPr>
        <w:t xml:space="preserve"> and increased</w:t>
      </w:r>
      <w:r w:rsidR="0075767E">
        <w:rPr>
          <w:rFonts w:ascii="Calibri" w:hAnsi="Calibri" w:cs="Calibri"/>
          <w:sz w:val="22"/>
          <w:szCs w:val="22"/>
        </w:rPr>
        <w:t xml:space="preserve"> the</w:t>
      </w:r>
      <w:r w:rsidRPr="00903FEB">
        <w:rPr>
          <w:rFonts w:ascii="Calibri" w:hAnsi="Calibri" w:cs="Calibri"/>
          <w:sz w:val="22"/>
          <w:szCs w:val="22"/>
        </w:rPr>
        <w:t xml:space="preserve"> interaction and movement of people and their livestock. Simultaneously, changing diets have led to the </w:t>
      </w:r>
      <w:r w:rsidR="00945E20">
        <w:rPr>
          <w:rFonts w:ascii="Calibri" w:hAnsi="Calibri" w:cs="Calibri"/>
          <w:sz w:val="22"/>
          <w:szCs w:val="22"/>
        </w:rPr>
        <w:t>triple</w:t>
      </w:r>
      <w:r w:rsidRPr="00903FEB">
        <w:rPr>
          <w:rFonts w:ascii="Calibri" w:hAnsi="Calibri" w:cs="Calibri"/>
          <w:sz w:val="22"/>
          <w:szCs w:val="22"/>
        </w:rPr>
        <w:t xml:space="preserve"> burden of </w:t>
      </w:r>
      <w:r w:rsidR="00082423">
        <w:rPr>
          <w:rFonts w:ascii="Calibri" w:hAnsi="Calibri" w:cs="Calibri"/>
          <w:sz w:val="22"/>
          <w:szCs w:val="22"/>
        </w:rPr>
        <w:t xml:space="preserve">malnutrition: </w:t>
      </w:r>
      <w:r w:rsidRPr="00903FEB">
        <w:rPr>
          <w:rFonts w:ascii="Calibri" w:hAnsi="Calibri" w:cs="Calibri"/>
          <w:sz w:val="22"/>
          <w:szCs w:val="22"/>
        </w:rPr>
        <w:t>under</w:t>
      </w:r>
      <w:r w:rsidR="00945E20">
        <w:rPr>
          <w:rFonts w:ascii="Calibri" w:hAnsi="Calibri" w:cs="Calibri"/>
          <w:sz w:val="22"/>
          <w:szCs w:val="22"/>
        </w:rPr>
        <w:t>nutrition</w:t>
      </w:r>
      <w:r w:rsidR="008147FC">
        <w:rPr>
          <w:rFonts w:ascii="Calibri" w:hAnsi="Calibri" w:cs="Calibri"/>
          <w:sz w:val="22"/>
          <w:szCs w:val="22"/>
        </w:rPr>
        <w:t>;</w:t>
      </w:r>
      <w:r w:rsidR="00945E20">
        <w:rPr>
          <w:rFonts w:ascii="Calibri" w:hAnsi="Calibri" w:cs="Calibri"/>
          <w:sz w:val="22"/>
          <w:szCs w:val="22"/>
        </w:rPr>
        <w:t xml:space="preserve"> overweight</w:t>
      </w:r>
      <w:r w:rsidR="008147FC">
        <w:rPr>
          <w:rFonts w:ascii="Calibri" w:hAnsi="Calibri" w:cs="Calibri"/>
          <w:sz w:val="22"/>
          <w:szCs w:val="22"/>
        </w:rPr>
        <w:t>;</w:t>
      </w:r>
      <w:r w:rsidR="00945E20">
        <w:rPr>
          <w:rFonts w:ascii="Calibri" w:hAnsi="Calibri" w:cs="Calibri"/>
          <w:sz w:val="22"/>
          <w:szCs w:val="22"/>
        </w:rPr>
        <w:t xml:space="preserve"> and obesity</w:t>
      </w:r>
      <w:r w:rsidR="00082423">
        <w:rPr>
          <w:rFonts w:ascii="Calibri" w:hAnsi="Calibri" w:cs="Calibri"/>
          <w:sz w:val="22"/>
          <w:szCs w:val="22"/>
        </w:rPr>
        <w:t xml:space="preserve"> </w:t>
      </w:r>
      <w:r w:rsidR="00945E20">
        <w:rPr>
          <w:rFonts w:ascii="Calibri" w:hAnsi="Calibri" w:cs="Calibri"/>
          <w:sz w:val="22"/>
          <w:szCs w:val="22"/>
        </w:rPr>
        <w:t xml:space="preserve">and micronutrient </w:t>
      </w:r>
      <w:r w:rsidR="00A55C30">
        <w:rPr>
          <w:rFonts w:ascii="Calibri" w:hAnsi="Calibri" w:cs="Calibri"/>
          <w:sz w:val="22"/>
          <w:szCs w:val="22"/>
        </w:rPr>
        <w:t>deficiencies</w:t>
      </w:r>
      <w:r w:rsidRPr="00903FEB">
        <w:rPr>
          <w:rFonts w:ascii="Calibri" w:hAnsi="Calibri" w:cs="Calibri"/>
          <w:sz w:val="22"/>
          <w:szCs w:val="22"/>
        </w:rPr>
        <w:t>.</w:t>
      </w:r>
    </w:p>
    <w:p w14:paraId="299ABFEE" w14:textId="77777777" w:rsidR="00903FEB" w:rsidRDefault="00903FEB" w:rsidP="00E41757">
      <w:pPr>
        <w:rPr>
          <w:rFonts w:ascii="Calibri" w:hAnsi="Calibri" w:cs="Calibri"/>
          <w:sz w:val="22"/>
          <w:szCs w:val="22"/>
        </w:rPr>
      </w:pPr>
    </w:p>
    <w:p w14:paraId="30C1DC23" w14:textId="77777777" w:rsidR="00903FEB" w:rsidRPr="00903FEB" w:rsidRDefault="00903FEB" w:rsidP="00E41757">
      <w:pPr>
        <w:rPr>
          <w:rFonts w:ascii="Calibri" w:hAnsi="Calibri" w:cs="Calibri"/>
          <w:b/>
          <w:sz w:val="22"/>
          <w:szCs w:val="22"/>
        </w:rPr>
      </w:pPr>
      <w:r w:rsidRPr="00903FEB">
        <w:rPr>
          <w:rFonts w:ascii="Calibri" w:hAnsi="Calibri" w:cs="Calibri"/>
          <w:b/>
          <w:sz w:val="22"/>
          <w:szCs w:val="22"/>
        </w:rPr>
        <w:t>Introduction</w:t>
      </w:r>
    </w:p>
    <w:p w14:paraId="1826F9EB" w14:textId="118B92B8" w:rsidR="008444A6" w:rsidRDefault="00151460" w:rsidP="008444A6">
      <w:pPr>
        <w:rPr>
          <w:rFonts w:ascii="Calibri" w:hAnsi="Calibri" w:cs="Calibri"/>
          <w:sz w:val="22"/>
          <w:szCs w:val="22"/>
        </w:rPr>
      </w:pPr>
      <w:r w:rsidRPr="00151460">
        <w:rPr>
          <w:rFonts w:ascii="Calibri" w:hAnsi="Calibri" w:cs="Calibri"/>
          <w:sz w:val="22"/>
          <w:szCs w:val="22"/>
        </w:rPr>
        <w:t xml:space="preserve">Supplying </w:t>
      </w:r>
      <w:r w:rsidR="008444A6">
        <w:rPr>
          <w:rFonts w:ascii="Calibri" w:hAnsi="Calibri" w:cs="Calibri"/>
          <w:sz w:val="22"/>
          <w:szCs w:val="22"/>
        </w:rPr>
        <w:t>sustainable, optimal</w:t>
      </w:r>
      <w:r w:rsidRPr="00151460">
        <w:rPr>
          <w:rFonts w:ascii="Calibri" w:hAnsi="Calibri" w:cs="Calibri"/>
          <w:sz w:val="22"/>
          <w:szCs w:val="22"/>
        </w:rPr>
        <w:t xml:space="preserve">, ethical and safe nutrition for </w:t>
      </w:r>
      <w:r w:rsidR="008147FC">
        <w:rPr>
          <w:rFonts w:ascii="Calibri" w:hAnsi="Calibri" w:cs="Calibri"/>
          <w:sz w:val="22"/>
          <w:szCs w:val="22"/>
        </w:rPr>
        <w:t xml:space="preserve">a global population forecast to be </w:t>
      </w:r>
      <w:r w:rsidRPr="00151460">
        <w:rPr>
          <w:rFonts w:ascii="Calibri" w:hAnsi="Calibri" w:cs="Calibri"/>
          <w:sz w:val="22"/>
          <w:szCs w:val="22"/>
        </w:rPr>
        <w:t xml:space="preserve">more than 8 billion people and 27 billion dependent livestock 2050 </w:t>
      </w:r>
      <w:r w:rsidR="008444A6">
        <w:rPr>
          <w:rFonts w:ascii="Calibri" w:hAnsi="Calibri" w:cs="Calibri"/>
          <w:sz w:val="22"/>
          <w:szCs w:val="22"/>
        </w:rPr>
        <w:t>is</w:t>
      </w:r>
      <w:r w:rsidRPr="00151460">
        <w:rPr>
          <w:rFonts w:ascii="Calibri" w:hAnsi="Calibri" w:cs="Calibri"/>
          <w:sz w:val="22"/>
          <w:szCs w:val="22"/>
        </w:rPr>
        <w:t xml:space="preserve"> among the most important and complex of human responsibilities</w:t>
      </w:r>
      <w:r w:rsidR="008444A6">
        <w:rPr>
          <w:rFonts w:ascii="Calibri" w:hAnsi="Calibri" w:cs="Calibri"/>
          <w:sz w:val="22"/>
          <w:szCs w:val="22"/>
        </w:rPr>
        <w:t xml:space="preserve"> (Alders et al. 2017</w:t>
      </w:r>
      <w:r w:rsidR="003B29E2">
        <w:rPr>
          <w:rFonts w:ascii="Calibri" w:hAnsi="Calibri" w:cs="Calibri"/>
          <w:sz w:val="22"/>
          <w:szCs w:val="22"/>
        </w:rPr>
        <w:t>a</w:t>
      </w:r>
      <w:r w:rsidR="008444A6">
        <w:rPr>
          <w:rFonts w:ascii="Calibri" w:hAnsi="Calibri" w:cs="Calibri"/>
          <w:sz w:val="22"/>
          <w:szCs w:val="22"/>
        </w:rPr>
        <w:t>)</w:t>
      </w:r>
      <w:r w:rsidRPr="00151460">
        <w:rPr>
          <w:rFonts w:ascii="Calibri" w:hAnsi="Calibri" w:cs="Calibri"/>
          <w:sz w:val="22"/>
          <w:szCs w:val="22"/>
        </w:rPr>
        <w:t xml:space="preserve">. </w:t>
      </w:r>
      <w:r w:rsidR="008444A6" w:rsidRPr="008444A6">
        <w:rPr>
          <w:rFonts w:ascii="Calibri" w:hAnsi="Calibri" w:cs="Calibri"/>
          <w:sz w:val="22"/>
          <w:szCs w:val="22"/>
        </w:rPr>
        <w:t xml:space="preserve">Yet, even under current conditions, </w:t>
      </w:r>
      <w:r w:rsidR="008147FC">
        <w:rPr>
          <w:rFonts w:ascii="Calibri" w:hAnsi="Calibri" w:cs="Calibri"/>
          <w:sz w:val="22"/>
          <w:szCs w:val="22"/>
        </w:rPr>
        <w:t xml:space="preserve">more than </w:t>
      </w:r>
      <w:r w:rsidR="008444A6" w:rsidRPr="008444A6">
        <w:rPr>
          <w:rFonts w:ascii="Calibri" w:hAnsi="Calibri" w:cs="Calibri"/>
          <w:sz w:val="22"/>
          <w:szCs w:val="22"/>
        </w:rPr>
        <w:t xml:space="preserve">10 per cent of people globally are undernourished and </w:t>
      </w:r>
      <w:r w:rsidR="0025013C">
        <w:rPr>
          <w:rFonts w:ascii="Calibri" w:hAnsi="Calibri" w:cs="Calibri"/>
          <w:sz w:val="22"/>
          <w:szCs w:val="22"/>
        </w:rPr>
        <w:t>about</w:t>
      </w:r>
      <w:r w:rsidR="008444A6" w:rsidRPr="008444A6">
        <w:rPr>
          <w:rFonts w:ascii="Calibri" w:hAnsi="Calibri" w:cs="Calibri"/>
          <w:sz w:val="22"/>
          <w:szCs w:val="22"/>
        </w:rPr>
        <w:t xml:space="preserve"> 30 per cent are deficient in key </w:t>
      </w:r>
      <w:r w:rsidR="008444A6" w:rsidRPr="001F623B">
        <w:rPr>
          <w:rFonts w:ascii="Calibri" w:hAnsi="Calibri" w:cs="Calibri"/>
          <w:sz w:val="22"/>
          <w:szCs w:val="22"/>
        </w:rPr>
        <w:t>micronutrients (Glopan 2014). These burdens tend to be higher in resource-poor households, and especially amongst the more vulnerable members of households. This is reflected in the fact that households in low- to middle-income countries</w:t>
      </w:r>
      <w:r w:rsidR="004F7522" w:rsidRPr="001F623B">
        <w:rPr>
          <w:rFonts w:ascii="Calibri" w:hAnsi="Calibri" w:cs="Calibri"/>
          <w:sz w:val="22"/>
          <w:szCs w:val="22"/>
        </w:rPr>
        <w:t xml:space="preserve"> (LMICs)</w:t>
      </w:r>
      <w:r w:rsidR="008444A6" w:rsidRPr="001F623B">
        <w:rPr>
          <w:rFonts w:ascii="Calibri" w:hAnsi="Calibri" w:cs="Calibri"/>
          <w:sz w:val="22"/>
          <w:szCs w:val="22"/>
        </w:rPr>
        <w:t xml:space="preserve"> account for almost all undernourished children. Anemia is prevalent in approximately 50 per cent of pregnant women</w:t>
      </w:r>
      <w:r w:rsidR="004F7522" w:rsidRPr="001F623B">
        <w:rPr>
          <w:rFonts w:ascii="Calibri" w:hAnsi="Calibri" w:cs="Calibri"/>
          <w:sz w:val="22"/>
          <w:szCs w:val="22"/>
        </w:rPr>
        <w:t xml:space="preserve"> in</w:t>
      </w:r>
      <w:r w:rsidR="008444A6" w:rsidRPr="001F623B">
        <w:rPr>
          <w:rFonts w:ascii="Calibri" w:hAnsi="Calibri" w:cs="Calibri"/>
          <w:sz w:val="22"/>
          <w:szCs w:val="22"/>
        </w:rPr>
        <w:t xml:space="preserve"> </w:t>
      </w:r>
      <w:r w:rsidR="004F7522" w:rsidRPr="001F623B">
        <w:rPr>
          <w:rFonts w:ascii="Calibri" w:hAnsi="Calibri" w:cs="Calibri"/>
          <w:sz w:val="22"/>
          <w:szCs w:val="22"/>
        </w:rPr>
        <w:t>LMICs</w:t>
      </w:r>
      <w:r w:rsidR="00282DF1" w:rsidRPr="001F623B">
        <w:rPr>
          <w:rFonts w:ascii="Calibri" w:hAnsi="Calibri" w:cs="Calibri"/>
          <w:sz w:val="22"/>
          <w:szCs w:val="22"/>
        </w:rPr>
        <w:t>, with the highest prevalence</w:t>
      </w:r>
      <w:r w:rsidR="00282DF1">
        <w:rPr>
          <w:rFonts w:ascii="Calibri" w:hAnsi="Calibri" w:cs="Calibri"/>
          <w:sz w:val="22"/>
          <w:szCs w:val="22"/>
        </w:rPr>
        <w:t xml:space="preserve"> in Africa (57.1%) and in South-East Asia (48.2%)(WHO 2017)</w:t>
      </w:r>
      <w:r w:rsidR="008444A6" w:rsidRPr="008444A6">
        <w:rPr>
          <w:rFonts w:ascii="Calibri" w:hAnsi="Calibri" w:cs="Calibri"/>
          <w:sz w:val="22"/>
          <w:szCs w:val="22"/>
        </w:rPr>
        <w:t>.</w:t>
      </w:r>
      <w:r w:rsidR="00282DF1">
        <w:rPr>
          <w:rFonts w:ascii="Calibri" w:hAnsi="Calibri" w:cs="Calibri"/>
          <w:sz w:val="22"/>
          <w:szCs w:val="22"/>
        </w:rPr>
        <w:t xml:space="preserve"> </w:t>
      </w:r>
      <w:r w:rsidR="001D4E4A" w:rsidRPr="001D4E4A">
        <w:rPr>
          <w:rFonts w:ascii="Calibri" w:hAnsi="Calibri" w:cs="Calibri"/>
          <w:sz w:val="22"/>
          <w:szCs w:val="22"/>
        </w:rPr>
        <w:t>In Australia, women of reproductive age and the elderly are disproportionally affected by micronutrient deficiencies (ABS 2014)</w:t>
      </w:r>
      <w:r w:rsidR="001D4E4A">
        <w:rPr>
          <w:rFonts w:ascii="Calibri" w:hAnsi="Calibri" w:cs="Calibri"/>
          <w:sz w:val="22"/>
          <w:szCs w:val="22"/>
        </w:rPr>
        <w:t>.</w:t>
      </w:r>
    </w:p>
    <w:p w14:paraId="2A4E5FA0" w14:textId="77777777" w:rsidR="008444A6" w:rsidRPr="008444A6" w:rsidRDefault="008444A6" w:rsidP="008444A6">
      <w:pPr>
        <w:rPr>
          <w:rFonts w:ascii="Calibri" w:hAnsi="Calibri" w:cs="Calibri"/>
          <w:sz w:val="22"/>
          <w:szCs w:val="22"/>
        </w:rPr>
      </w:pPr>
    </w:p>
    <w:p w14:paraId="1BB739E5" w14:textId="6C3F1B43" w:rsidR="008444A6" w:rsidRDefault="001C49DF" w:rsidP="00A73B70">
      <w:pPr>
        <w:rPr>
          <w:rFonts w:ascii="Calibri" w:hAnsi="Calibri" w:cs="Calibri"/>
          <w:sz w:val="22"/>
          <w:szCs w:val="22"/>
        </w:rPr>
      </w:pPr>
      <w:r w:rsidRPr="008924CC">
        <w:rPr>
          <w:rFonts w:ascii="Calibri" w:hAnsi="Calibri" w:cs="Calibri"/>
          <w:sz w:val="22"/>
          <w:szCs w:val="22"/>
        </w:rPr>
        <w:t>U</w:t>
      </w:r>
      <w:r w:rsidR="0025013C">
        <w:rPr>
          <w:rFonts w:ascii="Calibri" w:hAnsi="Calibri" w:cs="Calibri"/>
          <w:sz w:val="22"/>
          <w:szCs w:val="22"/>
        </w:rPr>
        <w:t>se</w:t>
      </w:r>
      <w:r w:rsidRPr="008924CC">
        <w:rPr>
          <w:rFonts w:ascii="Calibri" w:hAnsi="Calibri" w:cs="Calibri"/>
          <w:sz w:val="22"/>
          <w:szCs w:val="22"/>
        </w:rPr>
        <w:t xml:space="preserve"> </w:t>
      </w:r>
      <w:r w:rsidR="008924CC" w:rsidRPr="008924CC">
        <w:rPr>
          <w:rFonts w:ascii="Calibri" w:hAnsi="Calibri" w:cs="Calibri"/>
          <w:sz w:val="22"/>
          <w:szCs w:val="22"/>
        </w:rPr>
        <w:t>of wild</w:t>
      </w:r>
      <w:r w:rsidR="008924CC">
        <w:rPr>
          <w:rFonts w:ascii="Calibri" w:hAnsi="Calibri" w:cs="Calibri"/>
          <w:sz w:val="22"/>
          <w:szCs w:val="22"/>
        </w:rPr>
        <w:t xml:space="preserve"> animal-source</w:t>
      </w:r>
      <w:r w:rsidR="008924CC" w:rsidRPr="008924CC">
        <w:rPr>
          <w:rFonts w:ascii="Calibri" w:hAnsi="Calibri" w:cs="Calibri"/>
          <w:sz w:val="22"/>
          <w:szCs w:val="22"/>
        </w:rPr>
        <w:t xml:space="preserve"> foods through hunting and gathering was the main evolutionary driver of an upright </w:t>
      </w:r>
      <w:r w:rsidR="008924CC" w:rsidRPr="001F623B">
        <w:rPr>
          <w:rFonts w:ascii="Calibri" w:hAnsi="Calibri" w:cs="Calibri"/>
          <w:sz w:val="22"/>
          <w:szCs w:val="22"/>
        </w:rPr>
        <w:t xml:space="preserve">posture and gait and was critical to nutritional health, development and early expansion of the </w:t>
      </w:r>
      <w:r w:rsidR="0025013C" w:rsidRPr="001F623B">
        <w:rPr>
          <w:rFonts w:ascii="Calibri" w:hAnsi="Calibri" w:cs="Calibri"/>
          <w:sz w:val="22"/>
          <w:szCs w:val="22"/>
        </w:rPr>
        <w:t xml:space="preserve">human </w:t>
      </w:r>
      <w:r w:rsidR="008924CC" w:rsidRPr="001F623B">
        <w:rPr>
          <w:rFonts w:ascii="Calibri" w:hAnsi="Calibri" w:cs="Calibri"/>
          <w:sz w:val="22"/>
          <w:szCs w:val="22"/>
        </w:rPr>
        <w:t xml:space="preserve">species (Kock et al. 2011). </w:t>
      </w:r>
      <w:r w:rsidR="008444A6" w:rsidRPr="001F623B">
        <w:rPr>
          <w:rFonts w:ascii="Calibri" w:hAnsi="Calibri" w:cs="Calibri"/>
          <w:sz w:val="22"/>
          <w:szCs w:val="22"/>
        </w:rPr>
        <w:t>Efficient and appropriate consumption of animal-source food (ASF) can provide protein with an optimal mix of amino acids and bioavailable micronutrients such as h</w:t>
      </w:r>
      <w:r w:rsidR="001F623B" w:rsidRPr="001F623B">
        <w:rPr>
          <w:rFonts w:ascii="Calibri" w:hAnsi="Calibri" w:cs="Calibri"/>
          <w:sz w:val="22"/>
          <w:szCs w:val="22"/>
        </w:rPr>
        <w:t>eme</w:t>
      </w:r>
      <w:r w:rsidR="008444A6" w:rsidRPr="001F623B">
        <w:rPr>
          <w:rFonts w:ascii="Calibri" w:hAnsi="Calibri" w:cs="Calibri"/>
          <w:sz w:val="22"/>
          <w:szCs w:val="22"/>
        </w:rPr>
        <w:t xml:space="preserve"> iron that can significantly enrich cereal-based diets</w:t>
      </w:r>
      <w:r w:rsidR="001D4E4A" w:rsidRPr="001F623B">
        <w:rPr>
          <w:rFonts w:ascii="Calibri" w:hAnsi="Calibri" w:cs="Calibri"/>
          <w:sz w:val="22"/>
          <w:szCs w:val="22"/>
        </w:rPr>
        <w:t xml:space="preserve"> (de Bruyn et al. 2015)</w:t>
      </w:r>
      <w:r w:rsidR="008444A6" w:rsidRPr="001F623B">
        <w:rPr>
          <w:rFonts w:ascii="Calibri" w:hAnsi="Calibri" w:cs="Calibri"/>
          <w:sz w:val="22"/>
          <w:szCs w:val="22"/>
        </w:rPr>
        <w:t xml:space="preserve">. </w:t>
      </w:r>
      <w:r w:rsidR="007227E6" w:rsidRPr="001F623B">
        <w:rPr>
          <w:rFonts w:ascii="Calibri" w:hAnsi="Calibri" w:cs="Calibri"/>
          <w:sz w:val="22"/>
          <w:szCs w:val="22"/>
        </w:rPr>
        <w:t>In particular, meat is high in bioavailable hem</w:t>
      </w:r>
      <w:r w:rsidRPr="001F623B">
        <w:rPr>
          <w:rFonts w:ascii="Calibri" w:hAnsi="Calibri" w:cs="Calibri"/>
          <w:sz w:val="22"/>
          <w:szCs w:val="22"/>
        </w:rPr>
        <w:t>e</w:t>
      </w:r>
      <w:r w:rsidR="007227E6" w:rsidRPr="001F623B">
        <w:rPr>
          <w:rFonts w:ascii="Calibri" w:hAnsi="Calibri" w:cs="Calibri"/>
          <w:sz w:val="22"/>
          <w:szCs w:val="22"/>
        </w:rPr>
        <w:t xml:space="preserve"> iron and is known to enhance the uptake of less-readily absorbed non-h</w:t>
      </w:r>
      <w:r w:rsidR="001F623B" w:rsidRPr="001F623B">
        <w:rPr>
          <w:rFonts w:ascii="Calibri" w:hAnsi="Calibri" w:cs="Calibri"/>
          <w:sz w:val="22"/>
          <w:szCs w:val="22"/>
        </w:rPr>
        <w:t>eme</w:t>
      </w:r>
      <w:r w:rsidR="007227E6" w:rsidRPr="001F623B">
        <w:rPr>
          <w:rFonts w:ascii="Calibri" w:hAnsi="Calibri" w:cs="Calibri"/>
          <w:sz w:val="22"/>
          <w:szCs w:val="22"/>
        </w:rPr>
        <w:t xml:space="preserve"> iron found in cereals and green leafy vegetables (de Bruyn et al. 2015; Hallberg et al. 2000; Neumann et al. 2012). It is notable that h</w:t>
      </w:r>
      <w:r w:rsidR="001F623B" w:rsidRPr="001F623B">
        <w:rPr>
          <w:rFonts w:ascii="Calibri" w:hAnsi="Calibri" w:cs="Calibri"/>
          <w:sz w:val="22"/>
          <w:szCs w:val="22"/>
        </w:rPr>
        <w:t>eme</w:t>
      </w:r>
      <w:r w:rsidR="007227E6" w:rsidRPr="001F623B">
        <w:rPr>
          <w:rFonts w:ascii="Calibri" w:hAnsi="Calibri" w:cs="Calibri"/>
          <w:sz w:val="22"/>
          <w:szCs w:val="22"/>
        </w:rPr>
        <w:t xml:space="preserve"> iron content varies between meat types, with offal and red meat highest and fish lowest (Rangar et</w:t>
      </w:r>
      <w:r w:rsidR="007227E6">
        <w:rPr>
          <w:rFonts w:ascii="Calibri" w:hAnsi="Calibri" w:cs="Calibri"/>
          <w:sz w:val="22"/>
          <w:szCs w:val="22"/>
        </w:rPr>
        <w:t xml:space="preserve"> al. </w:t>
      </w:r>
      <w:r w:rsidR="00CD6BA7">
        <w:rPr>
          <w:rFonts w:ascii="Calibri" w:hAnsi="Calibri" w:cs="Calibri"/>
          <w:sz w:val="22"/>
          <w:szCs w:val="22"/>
        </w:rPr>
        <w:t>1997)</w:t>
      </w:r>
      <w:r w:rsidR="007227E6" w:rsidRPr="007227E6">
        <w:rPr>
          <w:rFonts w:ascii="Calibri" w:hAnsi="Calibri" w:cs="Calibri"/>
          <w:sz w:val="22"/>
          <w:szCs w:val="22"/>
        </w:rPr>
        <w:t>.</w:t>
      </w:r>
      <w:r w:rsidR="00A73B70">
        <w:rPr>
          <w:rFonts w:ascii="Calibri" w:hAnsi="Calibri" w:cs="Calibri"/>
          <w:sz w:val="22"/>
          <w:szCs w:val="22"/>
        </w:rPr>
        <w:t xml:space="preserve"> </w:t>
      </w:r>
      <w:r w:rsidR="00A73B70" w:rsidRPr="00A73B70">
        <w:rPr>
          <w:rFonts w:ascii="Calibri" w:hAnsi="Calibri" w:cs="Calibri"/>
          <w:sz w:val="22"/>
          <w:szCs w:val="22"/>
        </w:rPr>
        <w:t>Using a</w:t>
      </w:r>
      <w:r w:rsidR="00A73B70">
        <w:rPr>
          <w:rFonts w:ascii="Calibri" w:hAnsi="Calibri" w:cs="Calibri"/>
          <w:sz w:val="22"/>
          <w:szCs w:val="22"/>
        </w:rPr>
        <w:t xml:space="preserve"> </w:t>
      </w:r>
      <w:r w:rsidR="00A73B70" w:rsidRPr="00A73B70">
        <w:rPr>
          <w:rFonts w:ascii="Calibri" w:hAnsi="Calibri" w:cs="Calibri"/>
          <w:sz w:val="22"/>
          <w:szCs w:val="22"/>
        </w:rPr>
        <w:t xml:space="preserve">biophysical simulation model </w:t>
      </w:r>
      <w:r w:rsidR="00A73B70">
        <w:rPr>
          <w:rFonts w:ascii="Calibri" w:hAnsi="Calibri" w:cs="Calibri"/>
          <w:sz w:val="22"/>
          <w:szCs w:val="22"/>
        </w:rPr>
        <w:t>Peters et al. (2016)</w:t>
      </w:r>
      <w:r w:rsidR="00A73B70" w:rsidRPr="00A73B70">
        <w:rPr>
          <w:rFonts w:ascii="Calibri" w:hAnsi="Calibri" w:cs="Calibri"/>
          <w:sz w:val="22"/>
          <w:szCs w:val="22"/>
        </w:rPr>
        <w:t xml:space="preserve"> calculated human carrying capacity </w:t>
      </w:r>
      <w:r w:rsidR="001A4EE7">
        <w:rPr>
          <w:rFonts w:ascii="Calibri" w:hAnsi="Calibri" w:cs="Calibri"/>
          <w:sz w:val="22"/>
          <w:szCs w:val="22"/>
        </w:rPr>
        <w:t>in the U</w:t>
      </w:r>
      <w:r w:rsidR="0025013C">
        <w:rPr>
          <w:rFonts w:ascii="Calibri" w:hAnsi="Calibri" w:cs="Calibri"/>
          <w:sz w:val="22"/>
          <w:szCs w:val="22"/>
        </w:rPr>
        <w:t>nited States</w:t>
      </w:r>
      <w:r w:rsidR="001A4EE7">
        <w:rPr>
          <w:rFonts w:ascii="Calibri" w:hAnsi="Calibri" w:cs="Calibri"/>
          <w:sz w:val="22"/>
          <w:szCs w:val="22"/>
        </w:rPr>
        <w:t xml:space="preserve"> </w:t>
      </w:r>
      <w:r w:rsidR="00A73B70" w:rsidRPr="00A73B70">
        <w:rPr>
          <w:rFonts w:ascii="Calibri" w:hAnsi="Calibri" w:cs="Calibri"/>
          <w:sz w:val="22"/>
          <w:szCs w:val="22"/>
        </w:rPr>
        <w:t>under ten diet scenarios</w:t>
      </w:r>
      <w:r w:rsidR="0025013C">
        <w:rPr>
          <w:rFonts w:ascii="Calibri" w:hAnsi="Calibri" w:cs="Calibri"/>
          <w:sz w:val="22"/>
          <w:szCs w:val="22"/>
        </w:rPr>
        <w:t xml:space="preserve"> and</w:t>
      </w:r>
      <w:r w:rsidR="00A73B70">
        <w:rPr>
          <w:rFonts w:ascii="Calibri" w:hAnsi="Calibri" w:cs="Calibri"/>
          <w:sz w:val="22"/>
          <w:szCs w:val="22"/>
        </w:rPr>
        <w:t xml:space="preserve"> found that</w:t>
      </w:r>
      <w:r w:rsidR="00A73B70" w:rsidRPr="00A73B70">
        <w:rPr>
          <w:rFonts w:ascii="Calibri" w:hAnsi="Calibri" w:cs="Calibri"/>
          <w:sz w:val="22"/>
          <w:szCs w:val="22"/>
        </w:rPr>
        <w:t xml:space="preserve"> the carrying capacity of the vegan diet was lower than</w:t>
      </w:r>
      <w:r w:rsidR="0025013C">
        <w:rPr>
          <w:rFonts w:ascii="Calibri" w:hAnsi="Calibri" w:cs="Calibri"/>
          <w:sz w:val="22"/>
          <w:szCs w:val="22"/>
        </w:rPr>
        <w:t xml:space="preserve"> that of</w:t>
      </w:r>
      <w:r w:rsidR="00A73B70" w:rsidRPr="00A73B70">
        <w:rPr>
          <w:rFonts w:ascii="Calibri" w:hAnsi="Calibri" w:cs="Calibri"/>
          <w:sz w:val="22"/>
          <w:szCs w:val="22"/>
        </w:rPr>
        <w:t xml:space="preserve"> two of the healthy</w:t>
      </w:r>
      <w:r w:rsidR="00A73B70">
        <w:rPr>
          <w:rFonts w:ascii="Calibri" w:hAnsi="Calibri" w:cs="Calibri"/>
          <w:sz w:val="22"/>
          <w:szCs w:val="22"/>
        </w:rPr>
        <w:t xml:space="preserve"> </w:t>
      </w:r>
      <w:r w:rsidR="00A73B70" w:rsidRPr="00A73B70">
        <w:rPr>
          <w:rFonts w:ascii="Calibri" w:hAnsi="Calibri" w:cs="Calibri"/>
          <w:sz w:val="22"/>
          <w:szCs w:val="22"/>
        </w:rPr>
        <w:t>omnivore diet</w:t>
      </w:r>
      <w:r w:rsidR="0025013C">
        <w:rPr>
          <w:rFonts w:ascii="Calibri" w:hAnsi="Calibri" w:cs="Calibri"/>
          <w:sz w:val="22"/>
          <w:szCs w:val="22"/>
        </w:rPr>
        <w:t>s</w:t>
      </w:r>
      <w:r w:rsidR="00A73B70" w:rsidRPr="00A73B70">
        <w:rPr>
          <w:rFonts w:ascii="Calibri" w:hAnsi="Calibri" w:cs="Calibri"/>
          <w:sz w:val="22"/>
          <w:szCs w:val="22"/>
        </w:rPr>
        <w:t>.</w:t>
      </w:r>
    </w:p>
    <w:p w14:paraId="5F34C594" w14:textId="77777777" w:rsidR="008444A6" w:rsidRDefault="008444A6" w:rsidP="00151460">
      <w:pPr>
        <w:rPr>
          <w:rFonts w:ascii="Calibri" w:hAnsi="Calibri" w:cs="Calibri"/>
          <w:sz w:val="22"/>
          <w:szCs w:val="22"/>
        </w:rPr>
      </w:pPr>
    </w:p>
    <w:p w14:paraId="068CB23C" w14:textId="77777777" w:rsidR="007227E6" w:rsidRPr="007227E6" w:rsidRDefault="007227E6" w:rsidP="00151460">
      <w:pPr>
        <w:rPr>
          <w:rFonts w:ascii="Calibri" w:hAnsi="Calibri" w:cs="Calibri"/>
          <w:b/>
          <w:sz w:val="22"/>
          <w:szCs w:val="22"/>
        </w:rPr>
      </w:pPr>
      <w:r w:rsidRPr="007227E6">
        <w:rPr>
          <w:rFonts w:ascii="Calibri" w:hAnsi="Calibri" w:cs="Calibri"/>
          <w:b/>
          <w:sz w:val="22"/>
          <w:szCs w:val="22"/>
        </w:rPr>
        <w:lastRenderedPageBreak/>
        <w:t>Global food systems</w:t>
      </w:r>
    </w:p>
    <w:p w14:paraId="5E9E57C0" w14:textId="3D8F0057" w:rsidR="008444A6" w:rsidRDefault="008444A6" w:rsidP="00151460">
      <w:pPr>
        <w:rPr>
          <w:rFonts w:ascii="Calibri" w:hAnsi="Calibri" w:cs="Calibri"/>
          <w:sz w:val="22"/>
          <w:szCs w:val="22"/>
        </w:rPr>
      </w:pPr>
      <w:r w:rsidRPr="008444A6">
        <w:rPr>
          <w:rFonts w:ascii="Calibri" w:hAnsi="Calibri" w:cs="Calibri"/>
          <w:sz w:val="22"/>
          <w:szCs w:val="22"/>
        </w:rPr>
        <w:t xml:space="preserve">Globally, </w:t>
      </w:r>
      <w:r w:rsidR="0096401B">
        <w:rPr>
          <w:rFonts w:ascii="Calibri" w:hAnsi="Calibri" w:cs="Calibri"/>
          <w:sz w:val="22"/>
          <w:szCs w:val="22"/>
        </w:rPr>
        <w:t>food systems have contributed to decreasing undernutrition</w:t>
      </w:r>
      <w:r w:rsidR="0025013C">
        <w:rPr>
          <w:rFonts w:ascii="Calibri" w:hAnsi="Calibri" w:cs="Calibri"/>
          <w:sz w:val="22"/>
          <w:szCs w:val="22"/>
        </w:rPr>
        <w:t>. H</w:t>
      </w:r>
      <w:r w:rsidR="0096401B">
        <w:rPr>
          <w:rFonts w:ascii="Calibri" w:hAnsi="Calibri" w:cs="Calibri"/>
          <w:sz w:val="22"/>
          <w:szCs w:val="22"/>
        </w:rPr>
        <w:t xml:space="preserve">owever, </w:t>
      </w:r>
      <w:r w:rsidRPr="008444A6">
        <w:rPr>
          <w:rFonts w:ascii="Calibri" w:hAnsi="Calibri" w:cs="Calibri"/>
          <w:sz w:val="22"/>
          <w:szCs w:val="22"/>
        </w:rPr>
        <w:t xml:space="preserve">many food systems adversely affect the ecosystem by driving </w:t>
      </w:r>
      <w:r w:rsidR="0025013C" w:rsidRPr="008444A6">
        <w:rPr>
          <w:rFonts w:ascii="Calibri" w:hAnsi="Calibri" w:cs="Calibri"/>
          <w:sz w:val="22"/>
          <w:szCs w:val="22"/>
        </w:rPr>
        <w:t>decline</w:t>
      </w:r>
      <w:r w:rsidR="0025013C">
        <w:rPr>
          <w:rFonts w:ascii="Calibri" w:hAnsi="Calibri" w:cs="Calibri"/>
          <w:sz w:val="22"/>
          <w:szCs w:val="22"/>
        </w:rPr>
        <w:t>s in</w:t>
      </w:r>
      <w:r w:rsidR="0025013C" w:rsidRPr="008444A6">
        <w:rPr>
          <w:rFonts w:ascii="Calibri" w:hAnsi="Calibri" w:cs="Calibri"/>
          <w:sz w:val="22"/>
          <w:szCs w:val="22"/>
        </w:rPr>
        <w:t xml:space="preserve"> </w:t>
      </w:r>
      <w:r w:rsidRPr="008444A6">
        <w:rPr>
          <w:rFonts w:ascii="Calibri" w:hAnsi="Calibri" w:cs="Calibri"/>
          <w:sz w:val="22"/>
          <w:szCs w:val="22"/>
        </w:rPr>
        <w:t>biodiversity (including soil</w:t>
      </w:r>
      <w:r w:rsidR="001F623B">
        <w:rPr>
          <w:rFonts w:ascii="Calibri" w:hAnsi="Calibri" w:cs="Calibri"/>
          <w:sz w:val="22"/>
          <w:szCs w:val="22"/>
        </w:rPr>
        <w:t xml:space="preserve"> microorganisms</w:t>
      </w:r>
      <w:r w:rsidRPr="008444A6">
        <w:rPr>
          <w:rFonts w:ascii="Calibri" w:hAnsi="Calibri" w:cs="Calibri"/>
          <w:sz w:val="22"/>
          <w:szCs w:val="22"/>
        </w:rPr>
        <w:t xml:space="preserve">, animals and plants) and enhancing the risk of zoonotic disease and antimicrobial resistance. Poor community health and nutrition further compound low agricultural productivity and poverty at local, regional and national levels. The growing global population and associated environmental pressures necessitate a realignment of agriculture towards providing sufficient </w:t>
      </w:r>
      <w:r w:rsidR="0025013C">
        <w:rPr>
          <w:rFonts w:ascii="Calibri" w:hAnsi="Calibri" w:cs="Calibri"/>
          <w:sz w:val="22"/>
          <w:szCs w:val="22"/>
        </w:rPr>
        <w:t xml:space="preserve">safe and </w:t>
      </w:r>
      <w:r w:rsidRPr="008444A6">
        <w:rPr>
          <w:rFonts w:ascii="Calibri" w:hAnsi="Calibri" w:cs="Calibri"/>
          <w:sz w:val="22"/>
          <w:szCs w:val="22"/>
        </w:rPr>
        <w:t xml:space="preserve">nutritious food without excessive or poorly targeted production. </w:t>
      </w:r>
    </w:p>
    <w:p w14:paraId="7B99442D" w14:textId="77777777" w:rsidR="00F20CC1" w:rsidRDefault="00F20CC1" w:rsidP="00151460">
      <w:pPr>
        <w:rPr>
          <w:rFonts w:ascii="Calibri" w:hAnsi="Calibri" w:cs="Calibri"/>
          <w:sz w:val="22"/>
          <w:szCs w:val="22"/>
        </w:rPr>
      </w:pPr>
    </w:p>
    <w:p w14:paraId="41D973F9" w14:textId="77777777" w:rsidR="00903FEB" w:rsidRPr="00F20CC1" w:rsidRDefault="00903FEB" w:rsidP="00903FEB">
      <w:pPr>
        <w:rPr>
          <w:rFonts w:ascii="Calibri" w:hAnsi="Calibri" w:cs="Calibri"/>
          <w:b/>
          <w:sz w:val="22"/>
          <w:szCs w:val="22"/>
        </w:rPr>
      </w:pPr>
      <w:r w:rsidRPr="00F20CC1">
        <w:rPr>
          <w:rFonts w:ascii="Calibri" w:hAnsi="Calibri" w:cs="Calibri"/>
          <w:b/>
          <w:sz w:val="22"/>
          <w:szCs w:val="22"/>
        </w:rPr>
        <w:t>Food and nutrition security</w:t>
      </w:r>
    </w:p>
    <w:p w14:paraId="4E42FA96" w14:textId="53F7A813" w:rsidR="00B17B0A" w:rsidRDefault="00903FEB" w:rsidP="00B17B0A">
      <w:pPr>
        <w:rPr>
          <w:rFonts w:ascii="Calibri" w:hAnsi="Calibri" w:cs="Calibri"/>
          <w:sz w:val="22"/>
          <w:szCs w:val="22"/>
        </w:rPr>
      </w:pPr>
      <w:r w:rsidRPr="00903FEB">
        <w:rPr>
          <w:rFonts w:ascii="Calibri" w:hAnsi="Calibri" w:cs="Calibri"/>
          <w:sz w:val="22"/>
          <w:szCs w:val="22"/>
        </w:rPr>
        <w:t>Food security exists when populations have access on an ongoing basis to sufficient safe and nutritious food to meet their dietary needs and food preferences for an active and healthy life</w:t>
      </w:r>
      <w:r w:rsidR="0096401B">
        <w:rPr>
          <w:rFonts w:ascii="Calibri" w:hAnsi="Calibri" w:cs="Calibri"/>
          <w:sz w:val="22"/>
          <w:szCs w:val="22"/>
        </w:rPr>
        <w:t xml:space="preserve"> (FAO 2009)</w:t>
      </w:r>
      <w:r w:rsidRPr="00903FEB">
        <w:rPr>
          <w:rFonts w:ascii="Calibri" w:hAnsi="Calibri" w:cs="Calibri"/>
          <w:sz w:val="22"/>
          <w:szCs w:val="22"/>
        </w:rPr>
        <w:t xml:space="preserve">. Despite increases in agricultural production </w:t>
      </w:r>
      <w:r w:rsidR="0025013C">
        <w:rPr>
          <w:rFonts w:ascii="Calibri" w:hAnsi="Calibri" w:cs="Calibri"/>
          <w:sz w:val="22"/>
          <w:szCs w:val="22"/>
        </w:rPr>
        <w:t xml:space="preserve">during </w:t>
      </w:r>
      <w:r w:rsidRPr="00903FEB">
        <w:rPr>
          <w:rFonts w:ascii="Calibri" w:hAnsi="Calibri" w:cs="Calibri"/>
          <w:sz w:val="22"/>
          <w:szCs w:val="22"/>
        </w:rPr>
        <w:t xml:space="preserve">the past two decades, malnutrition rates in have not diminished significantly </w:t>
      </w:r>
      <w:r w:rsidR="00D80085">
        <w:rPr>
          <w:rFonts w:ascii="Calibri" w:hAnsi="Calibri" w:cs="Calibri"/>
          <w:sz w:val="22"/>
          <w:szCs w:val="22"/>
        </w:rPr>
        <w:t xml:space="preserve">and </w:t>
      </w:r>
      <w:r w:rsidRPr="00903FEB">
        <w:rPr>
          <w:rFonts w:ascii="Calibri" w:hAnsi="Calibri" w:cs="Calibri"/>
          <w:sz w:val="22"/>
          <w:szCs w:val="22"/>
        </w:rPr>
        <w:t>undernutrition remain</w:t>
      </w:r>
      <w:r w:rsidR="00D80085">
        <w:rPr>
          <w:rFonts w:ascii="Calibri" w:hAnsi="Calibri" w:cs="Calibri"/>
          <w:sz w:val="22"/>
          <w:szCs w:val="22"/>
        </w:rPr>
        <w:t>s</w:t>
      </w:r>
      <w:r w:rsidRPr="00903FEB">
        <w:rPr>
          <w:rFonts w:ascii="Calibri" w:hAnsi="Calibri" w:cs="Calibri"/>
          <w:sz w:val="22"/>
          <w:szCs w:val="22"/>
        </w:rPr>
        <w:t xml:space="preserve"> a significant problem in many </w:t>
      </w:r>
      <w:r w:rsidR="00D80085">
        <w:rPr>
          <w:rFonts w:ascii="Calibri" w:hAnsi="Calibri" w:cs="Calibri"/>
          <w:sz w:val="22"/>
          <w:szCs w:val="22"/>
        </w:rPr>
        <w:t>LMICs</w:t>
      </w:r>
      <w:r w:rsidRPr="00903FEB">
        <w:rPr>
          <w:rFonts w:ascii="Calibri" w:hAnsi="Calibri" w:cs="Calibri"/>
          <w:sz w:val="22"/>
          <w:szCs w:val="22"/>
        </w:rPr>
        <w:t xml:space="preserve"> and overnutrition becoming a major issue globally</w:t>
      </w:r>
      <w:r w:rsidR="005171E9">
        <w:rPr>
          <w:rFonts w:ascii="Calibri" w:hAnsi="Calibri" w:cs="Calibri"/>
          <w:sz w:val="22"/>
          <w:szCs w:val="22"/>
        </w:rPr>
        <w:t xml:space="preserve"> (Glopan 2014)</w:t>
      </w:r>
      <w:r w:rsidRPr="00903FEB">
        <w:rPr>
          <w:rFonts w:ascii="Calibri" w:hAnsi="Calibri" w:cs="Calibri"/>
          <w:sz w:val="22"/>
          <w:szCs w:val="22"/>
        </w:rPr>
        <w:t xml:space="preserve">. </w:t>
      </w:r>
      <w:r w:rsidR="001C49DF">
        <w:rPr>
          <w:rFonts w:ascii="Calibri" w:hAnsi="Calibri" w:cs="Calibri"/>
          <w:sz w:val="22"/>
          <w:szCs w:val="22"/>
        </w:rPr>
        <w:t>C</w:t>
      </w:r>
      <w:r w:rsidR="001C49DF" w:rsidRPr="001C49DF">
        <w:rPr>
          <w:rFonts w:ascii="Calibri" w:hAnsi="Calibri" w:cs="Calibri"/>
          <w:sz w:val="22"/>
          <w:szCs w:val="22"/>
        </w:rPr>
        <w:t>hanging diets have led to the triple burden of malnutrition (Pinstrup-Andersen 2007): undernutrition (insufficient calories), overweight and obesity (excess calories) and micronutrient deficiencies (insufficient vitamins and minerals).</w:t>
      </w:r>
      <w:r w:rsidR="001C49DF">
        <w:rPr>
          <w:rFonts w:ascii="Calibri" w:hAnsi="Calibri" w:cs="Calibri"/>
          <w:sz w:val="22"/>
          <w:szCs w:val="22"/>
        </w:rPr>
        <w:t xml:space="preserve"> </w:t>
      </w:r>
      <w:r w:rsidRPr="00903FEB">
        <w:rPr>
          <w:rFonts w:ascii="Calibri" w:hAnsi="Calibri" w:cs="Calibri"/>
          <w:sz w:val="22"/>
          <w:szCs w:val="22"/>
        </w:rPr>
        <w:t>These trends are reflected statistically with 200 million children under the age of five classified as having stunted growth due to chronic undernutrition, or wasting due to acute undernutrition; two billion people suffering physical and cognitive effects resulting from a lack of essential vitamins and minerals in their diets; and 1.4 billion peop</w:t>
      </w:r>
      <w:r w:rsidR="005171E9">
        <w:rPr>
          <w:rFonts w:ascii="Calibri" w:hAnsi="Calibri" w:cs="Calibri"/>
          <w:sz w:val="22"/>
          <w:szCs w:val="22"/>
        </w:rPr>
        <w:t>le who are overweight or obese.</w:t>
      </w:r>
      <w:r w:rsidRPr="00903FEB">
        <w:rPr>
          <w:rFonts w:ascii="Calibri" w:hAnsi="Calibri" w:cs="Calibri"/>
          <w:sz w:val="22"/>
          <w:szCs w:val="22"/>
        </w:rPr>
        <w:t xml:space="preserve"> Levels of stunting in children under </w:t>
      </w:r>
      <w:r w:rsidR="00D80085">
        <w:rPr>
          <w:rFonts w:ascii="Calibri" w:hAnsi="Calibri" w:cs="Calibri"/>
          <w:sz w:val="22"/>
          <w:szCs w:val="22"/>
        </w:rPr>
        <w:t>five</w:t>
      </w:r>
      <w:r w:rsidRPr="00903FEB">
        <w:rPr>
          <w:rFonts w:ascii="Calibri" w:hAnsi="Calibri" w:cs="Calibri"/>
          <w:sz w:val="22"/>
          <w:szCs w:val="22"/>
        </w:rPr>
        <w:t xml:space="preserve"> remain unacceptably high in </w:t>
      </w:r>
      <w:r w:rsidR="00D80085">
        <w:rPr>
          <w:rFonts w:ascii="Calibri" w:hAnsi="Calibri" w:cs="Calibri"/>
          <w:sz w:val="22"/>
          <w:szCs w:val="22"/>
        </w:rPr>
        <w:t>the Asia-Pacific</w:t>
      </w:r>
      <w:r w:rsidRPr="00903FEB">
        <w:rPr>
          <w:rFonts w:ascii="Calibri" w:hAnsi="Calibri" w:cs="Calibri"/>
          <w:sz w:val="22"/>
          <w:szCs w:val="22"/>
        </w:rPr>
        <w:t xml:space="preserve"> </w:t>
      </w:r>
      <w:r w:rsidR="005171E9">
        <w:rPr>
          <w:rFonts w:ascii="Calibri" w:hAnsi="Calibri" w:cs="Calibri"/>
          <w:sz w:val="22"/>
          <w:szCs w:val="22"/>
        </w:rPr>
        <w:t>region</w:t>
      </w:r>
      <w:r w:rsidR="00D80085">
        <w:rPr>
          <w:rFonts w:ascii="Calibri" w:hAnsi="Calibri" w:cs="Calibri"/>
          <w:sz w:val="22"/>
          <w:szCs w:val="22"/>
        </w:rPr>
        <w:t>,</w:t>
      </w:r>
      <w:r w:rsidRPr="00903FEB">
        <w:rPr>
          <w:rFonts w:ascii="Calibri" w:hAnsi="Calibri" w:cs="Calibri"/>
          <w:sz w:val="22"/>
          <w:szCs w:val="22"/>
        </w:rPr>
        <w:t xml:space="preserve"> ranging from over 30% in Indonesia, </w:t>
      </w:r>
      <w:r w:rsidR="00D80085">
        <w:rPr>
          <w:rFonts w:ascii="Calibri" w:hAnsi="Calibri" w:cs="Calibri"/>
          <w:sz w:val="22"/>
          <w:szCs w:val="22"/>
        </w:rPr>
        <w:t xml:space="preserve">more than </w:t>
      </w:r>
      <w:r w:rsidRPr="00903FEB">
        <w:rPr>
          <w:rFonts w:ascii="Calibri" w:hAnsi="Calibri" w:cs="Calibri"/>
          <w:sz w:val="22"/>
          <w:szCs w:val="22"/>
        </w:rPr>
        <w:t xml:space="preserve">40% in Papua New Guinea and </w:t>
      </w:r>
      <w:r w:rsidR="00D80085">
        <w:rPr>
          <w:rFonts w:ascii="Calibri" w:hAnsi="Calibri" w:cs="Calibri"/>
          <w:sz w:val="22"/>
          <w:szCs w:val="22"/>
        </w:rPr>
        <w:t>more than</w:t>
      </w:r>
      <w:r w:rsidRPr="00903FEB">
        <w:rPr>
          <w:rFonts w:ascii="Calibri" w:hAnsi="Calibri" w:cs="Calibri"/>
          <w:sz w:val="22"/>
          <w:szCs w:val="22"/>
        </w:rPr>
        <w:t xml:space="preserve"> 50% in Timor-Leste</w:t>
      </w:r>
      <w:r w:rsidR="009935EC">
        <w:rPr>
          <w:rFonts w:ascii="Calibri" w:hAnsi="Calibri" w:cs="Calibri"/>
          <w:sz w:val="22"/>
          <w:szCs w:val="22"/>
        </w:rPr>
        <w:t xml:space="preserve"> (DFAT 2015)</w:t>
      </w:r>
      <w:r w:rsidRPr="00903FEB">
        <w:rPr>
          <w:rFonts w:ascii="Calibri" w:hAnsi="Calibri" w:cs="Calibri"/>
          <w:sz w:val="22"/>
          <w:szCs w:val="22"/>
        </w:rPr>
        <w:t>. High levels of undernutrition, lack of education among adult women (who frequently play a key role in agricultural production, feeding of the household</w:t>
      </w:r>
      <w:r w:rsidR="00D80085">
        <w:rPr>
          <w:rFonts w:ascii="Calibri" w:hAnsi="Calibri" w:cs="Calibri"/>
          <w:sz w:val="22"/>
          <w:szCs w:val="22"/>
        </w:rPr>
        <w:t>,</w:t>
      </w:r>
      <w:r w:rsidRPr="00903FEB">
        <w:rPr>
          <w:rFonts w:ascii="Calibri" w:hAnsi="Calibri" w:cs="Calibri"/>
          <w:sz w:val="22"/>
          <w:szCs w:val="22"/>
        </w:rPr>
        <w:t xml:space="preserve"> care of children</w:t>
      </w:r>
      <w:r w:rsidR="00D80085">
        <w:rPr>
          <w:rFonts w:ascii="Calibri" w:hAnsi="Calibri" w:cs="Calibri"/>
          <w:sz w:val="22"/>
          <w:szCs w:val="22"/>
        </w:rPr>
        <w:t>,</w:t>
      </w:r>
      <w:r w:rsidRPr="00903FEB">
        <w:rPr>
          <w:rFonts w:ascii="Calibri" w:hAnsi="Calibri" w:cs="Calibri"/>
          <w:sz w:val="22"/>
          <w:szCs w:val="22"/>
        </w:rPr>
        <w:t xml:space="preserve"> and </w:t>
      </w:r>
      <w:r w:rsidR="00D80085">
        <w:rPr>
          <w:rFonts w:ascii="Calibri" w:hAnsi="Calibri" w:cs="Calibri"/>
          <w:sz w:val="22"/>
          <w:szCs w:val="22"/>
        </w:rPr>
        <w:t xml:space="preserve">care of </w:t>
      </w:r>
      <w:r w:rsidRPr="00903FEB">
        <w:rPr>
          <w:rFonts w:ascii="Calibri" w:hAnsi="Calibri" w:cs="Calibri"/>
          <w:sz w:val="22"/>
          <w:szCs w:val="22"/>
        </w:rPr>
        <w:t>sick people) and gender inequality have also shown a strong positive association with the prevalence of child undernutrition.</w:t>
      </w:r>
      <w:r w:rsidR="00D80085">
        <w:rPr>
          <w:rFonts w:ascii="Calibri" w:hAnsi="Calibri" w:cs="Calibri"/>
          <w:sz w:val="22"/>
          <w:szCs w:val="22"/>
        </w:rPr>
        <w:t xml:space="preserve"> </w:t>
      </w:r>
      <w:r w:rsidR="00B17B0A">
        <w:rPr>
          <w:rFonts w:ascii="Calibri" w:hAnsi="Calibri" w:cs="Calibri"/>
          <w:sz w:val="22"/>
          <w:szCs w:val="22"/>
        </w:rPr>
        <w:t xml:space="preserve">Two of the </w:t>
      </w:r>
      <w:r w:rsidR="00D80085">
        <w:rPr>
          <w:rFonts w:ascii="Calibri" w:hAnsi="Calibri" w:cs="Calibri"/>
          <w:sz w:val="22"/>
          <w:szCs w:val="22"/>
        </w:rPr>
        <w:t>17</w:t>
      </w:r>
      <w:r w:rsidR="00B17B0A">
        <w:rPr>
          <w:rFonts w:ascii="Calibri" w:hAnsi="Calibri" w:cs="Calibri"/>
          <w:sz w:val="22"/>
          <w:szCs w:val="22"/>
        </w:rPr>
        <w:t xml:space="preserve"> United Nations Sustainable Development Goals</w:t>
      </w:r>
      <w:r w:rsidR="004F7522">
        <w:rPr>
          <w:rFonts w:ascii="Calibri" w:hAnsi="Calibri" w:cs="Calibri"/>
          <w:sz w:val="22"/>
          <w:szCs w:val="22"/>
        </w:rPr>
        <w:t xml:space="preserve"> (SDGs)</w:t>
      </w:r>
      <w:r w:rsidR="00B17B0A">
        <w:rPr>
          <w:rFonts w:ascii="Calibri" w:hAnsi="Calibri" w:cs="Calibri"/>
          <w:sz w:val="22"/>
          <w:szCs w:val="22"/>
        </w:rPr>
        <w:t xml:space="preserve"> outline targets to end hunger and achieve gender equality and empower all women and girls</w:t>
      </w:r>
      <w:r w:rsidR="00D80085">
        <w:rPr>
          <w:rFonts w:ascii="Calibri" w:hAnsi="Calibri" w:cs="Calibri"/>
          <w:sz w:val="22"/>
          <w:szCs w:val="22"/>
        </w:rPr>
        <w:t xml:space="preserve">. SDG2 aims to, </w:t>
      </w:r>
      <w:r w:rsidR="004F7522">
        <w:rPr>
          <w:rFonts w:ascii="Calibri" w:hAnsi="Calibri" w:cs="Calibri"/>
          <w:sz w:val="22"/>
          <w:szCs w:val="22"/>
        </w:rPr>
        <w:t>t</w:t>
      </w:r>
      <w:r w:rsidR="00B17B0A">
        <w:rPr>
          <w:rFonts w:ascii="Calibri" w:hAnsi="Calibri" w:cs="Calibri"/>
          <w:sz w:val="22"/>
          <w:szCs w:val="22"/>
        </w:rPr>
        <w:t>o ‘end hunger, achieve food security and improved nutrition, and promote sustainable agriculture’</w:t>
      </w:r>
      <w:r w:rsidR="004F7522">
        <w:rPr>
          <w:rFonts w:ascii="Calibri" w:hAnsi="Calibri" w:cs="Calibri"/>
          <w:sz w:val="22"/>
          <w:szCs w:val="22"/>
        </w:rPr>
        <w:t xml:space="preserve"> </w:t>
      </w:r>
      <w:r w:rsidR="00925F52">
        <w:rPr>
          <w:rFonts w:ascii="Calibri" w:hAnsi="Calibri" w:cs="Calibri"/>
          <w:sz w:val="22"/>
          <w:szCs w:val="22"/>
        </w:rPr>
        <w:t>with a particular focus</w:t>
      </w:r>
      <w:r w:rsidR="00B17B0A">
        <w:rPr>
          <w:rFonts w:ascii="Calibri" w:hAnsi="Calibri" w:cs="Calibri"/>
          <w:sz w:val="22"/>
          <w:szCs w:val="22"/>
        </w:rPr>
        <w:t xml:space="preserve"> given to young children, adolescent girls, pregnant and breastfeeding women</w:t>
      </w:r>
      <w:r w:rsidR="00D80085">
        <w:rPr>
          <w:rFonts w:ascii="Calibri" w:hAnsi="Calibri" w:cs="Calibri"/>
          <w:sz w:val="22"/>
          <w:szCs w:val="22"/>
        </w:rPr>
        <w:t xml:space="preserve">. SDG5 aims </w:t>
      </w:r>
      <w:r w:rsidR="00D3410B">
        <w:rPr>
          <w:rFonts w:ascii="Calibri" w:hAnsi="Calibri" w:cs="Calibri"/>
          <w:sz w:val="22"/>
          <w:szCs w:val="22"/>
        </w:rPr>
        <w:t>to</w:t>
      </w:r>
      <w:r w:rsidR="00F47DC4">
        <w:rPr>
          <w:rFonts w:ascii="Calibri" w:hAnsi="Calibri" w:cs="Calibri"/>
          <w:sz w:val="22"/>
          <w:szCs w:val="22"/>
        </w:rPr>
        <w:t xml:space="preserve"> ‘</w:t>
      </w:r>
      <w:r w:rsidR="00F47DC4" w:rsidRPr="00903FEB">
        <w:rPr>
          <w:rFonts w:ascii="Calibri" w:hAnsi="Calibri" w:cs="Calibri"/>
          <w:sz w:val="22"/>
          <w:szCs w:val="22"/>
        </w:rPr>
        <w:t>achieve gender equality an</w:t>
      </w:r>
      <w:r w:rsidR="00F47DC4">
        <w:rPr>
          <w:rFonts w:ascii="Calibri" w:hAnsi="Calibri" w:cs="Calibri"/>
          <w:sz w:val="22"/>
          <w:szCs w:val="22"/>
        </w:rPr>
        <w:t>d empower all women and girls’</w:t>
      </w:r>
      <w:r w:rsidR="004F7522">
        <w:rPr>
          <w:rFonts w:ascii="Calibri" w:hAnsi="Calibri" w:cs="Calibri"/>
          <w:sz w:val="22"/>
          <w:szCs w:val="22"/>
        </w:rPr>
        <w:t xml:space="preserve"> </w:t>
      </w:r>
      <w:r w:rsidR="00D80085">
        <w:rPr>
          <w:rFonts w:ascii="Calibri" w:hAnsi="Calibri" w:cs="Calibri"/>
          <w:sz w:val="22"/>
          <w:szCs w:val="22"/>
        </w:rPr>
        <w:t xml:space="preserve">and </w:t>
      </w:r>
      <w:r w:rsidR="00F47DC4">
        <w:rPr>
          <w:rFonts w:ascii="Calibri" w:hAnsi="Calibri" w:cs="Calibri"/>
          <w:sz w:val="22"/>
          <w:szCs w:val="22"/>
        </w:rPr>
        <w:t xml:space="preserve">further </w:t>
      </w:r>
      <w:r w:rsidR="00282DF1">
        <w:rPr>
          <w:rFonts w:ascii="Calibri" w:hAnsi="Calibri" w:cs="Calibri"/>
          <w:sz w:val="22"/>
          <w:szCs w:val="22"/>
        </w:rPr>
        <w:t xml:space="preserve">specifies the need to address gender disparities to improve female nutrition. </w:t>
      </w:r>
    </w:p>
    <w:p w14:paraId="7A94323E" w14:textId="77777777" w:rsidR="00506EB0" w:rsidRDefault="00506EB0" w:rsidP="00B17B0A">
      <w:pPr>
        <w:rPr>
          <w:rFonts w:ascii="Calibri" w:hAnsi="Calibri" w:cs="Calibri"/>
          <w:sz w:val="22"/>
          <w:szCs w:val="22"/>
        </w:rPr>
      </w:pPr>
    </w:p>
    <w:p w14:paraId="225867FD" w14:textId="77777777" w:rsidR="00903FEB" w:rsidRPr="009935EC" w:rsidRDefault="009935EC" w:rsidP="00903FEB">
      <w:pPr>
        <w:rPr>
          <w:rFonts w:ascii="Calibri" w:hAnsi="Calibri" w:cs="Calibri"/>
          <w:b/>
          <w:sz w:val="22"/>
          <w:szCs w:val="22"/>
        </w:rPr>
      </w:pPr>
      <w:r w:rsidRPr="009935EC">
        <w:rPr>
          <w:rFonts w:ascii="Calibri" w:hAnsi="Calibri" w:cs="Calibri"/>
          <w:b/>
          <w:sz w:val="22"/>
          <w:szCs w:val="22"/>
        </w:rPr>
        <w:t>Linkages between food and disease</w:t>
      </w:r>
    </w:p>
    <w:p w14:paraId="349A2B4E" w14:textId="45B8D0DF" w:rsidR="00903FEB" w:rsidRPr="001F623B" w:rsidRDefault="00903FEB" w:rsidP="00903FEB">
      <w:pPr>
        <w:rPr>
          <w:rFonts w:ascii="Calibri" w:hAnsi="Calibri" w:cs="Calibri"/>
          <w:sz w:val="22"/>
          <w:szCs w:val="22"/>
        </w:rPr>
      </w:pPr>
      <w:r w:rsidRPr="00903FEB">
        <w:rPr>
          <w:rFonts w:ascii="Calibri" w:hAnsi="Calibri" w:cs="Calibri"/>
          <w:sz w:val="22"/>
          <w:szCs w:val="22"/>
        </w:rPr>
        <w:t xml:space="preserve">Throughout </w:t>
      </w:r>
      <w:r w:rsidRPr="001F623B">
        <w:rPr>
          <w:rFonts w:ascii="Calibri" w:hAnsi="Calibri" w:cs="Calibri"/>
          <w:sz w:val="22"/>
          <w:szCs w:val="22"/>
        </w:rPr>
        <w:t xml:space="preserve">history </w:t>
      </w:r>
      <w:r w:rsidR="00511562" w:rsidRPr="001F623B">
        <w:rPr>
          <w:rFonts w:ascii="Calibri" w:hAnsi="Calibri" w:cs="Calibri"/>
          <w:sz w:val="22"/>
          <w:szCs w:val="22"/>
        </w:rPr>
        <w:t xml:space="preserve">infectious </w:t>
      </w:r>
      <w:r w:rsidRPr="001F623B">
        <w:rPr>
          <w:rFonts w:ascii="Calibri" w:hAnsi="Calibri" w:cs="Calibri"/>
          <w:sz w:val="22"/>
          <w:szCs w:val="22"/>
        </w:rPr>
        <w:t>diseases have tended to emerge and maintain themselves in cent</w:t>
      </w:r>
      <w:r w:rsidR="001F623B" w:rsidRPr="001F623B">
        <w:rPr>
          <w:rFonts w:ascii="Calibri" w:hAnsi="Calibri" w:cs="Calibri"/>
          <w:sz w:val="22"/>
          <w:szCs w:val="22"/>
        </w:rPr>
        <w:t>ers</w:t>
      </w:r>
      <w:r w:rsidRPr="001F623B">
        <w:rPr>
          <w:rFonts w:ascii="Calibri" w:hAnsi="Calibri" w:cs="Calibri"/>
          <w:sz w:val="22"/>
          <w:szCs w:val="22"/>
        </w:rPr>
        <w:t xml:space="preserve"> where human and animal density is high or where human activities encroach on naive environments. Emerging infectious diseases (EIDs) are increasing, causing losses in human and animal lives, </w:t>
      </w:r>
      <w:r w:rsidR="00D80085" w:rsidRPr="001F623B">
        <w:rPr>
          <w:rFonts w:ascii="Calibri" w:hAnsi="Calibri" w:cs="Calibri"/>
          <w:sz w:val="22"/>
          <w:szCs w:val="22"/>
        </w:rPr>
        <w:t>decreasing</w:t>
      </w:r>
      <w:r w:rsidRPr="001F623B">
        <w:rPr>
          <w:rFonts w:ascii="Calibri" w:hAnsi="Calibri" w:cs="Calibri"/>
          <w:sz w:val="22"/>
          <w:szCs w:val="22"/>
        </w:rPr>
        <w:t xml:space="preserve"> food security</w:t>
      </w:r>
      <w:r w:rsidR="00D80085" w:rsidRPr="001F623B">
        <w:rPr>
          <w:rFonts w:ascii="Calibri" w:hAnsi="Calibri" w:cs="Calibri"/>
          <w:sz w:val="22"/>
          <w:szCs w:val="22"/>
        </w:rPr>
        <w:t>,</w:t>
      </w:r>
      <w:r w:rsidRPr="001F623B">
        <w:rPr>
          <w:rFonts w:ascii="Calibri" w:hAnsi="Calibri" w:cs="Calibri"/>
          <w:sz w:val="22"/>
          <w:szCs w:val="22"/>
        </w:rPr>
        <w:t xml:space="preserve"> and resulting in large costs to society. Many of the factors contributing to disease emergence, including climate change, </w:t>
      </w:r>
      <w:r w:rsidR="001C49DF" w:rsidRPr="001F623B">
        <w:rPr>
          <w:rFonts w:ascii="Calibri" w:hAnsi="Calibri" w:cs="Calibri"/>
          <w:sz w:val="22"/>
          <w:szCs w:val="22"/>
        </w:rPr>
        <w:t>globali</w:t>
      </w:r>
      <w:r w:rsidR="001F623B" w:rsidRPr="001F623B">
        <w:rPr>
          <w:rFonts w:ascii="Calibri" w:hAnsi="Calibri" w:cs="Calibri"/>
          <w:sz w:val="22"/>
          <w:szCs w:val="22"/>
        </w:rPr>
        <w:t>z</w:t>
      </w:r>
      <w:r w:rsidR="001C49DF" w:rsidRPr="001F623B">
        <w:rPr>
          <w:rFonts w:ascii="Calibri" w:hAnsi="Calibri" w:cs="Calibri"/>
          <w:sz w:val="22"/>
          <w:szCs w:val="22"/>
        </w:rPr>
        <w:t xml:space="preserve">ation </w:t>
      </w:r>
      <w:r w:rsidRPr="001F623B">
        <w:rPr>
          <w:rFonts w:ascii="Calibri" w:hAnsi="Calibri" w:cs="Calibri"/>
          <w:sz w:val="22"/>
          <w:szCs w:val="22"/>
        </w:rPr>
        <w:t>and urbani</w:t>
      </w:r>
      <w:r w:rsidR="001F623B" w:rsidRPr="001F623B">
        <w:rPr>
          <w:rFonts w:ascii="Calibri" w:hAnsi="Calibri" w:cs="Calibri"/>
          <w:sz w:val="22"/>
          <w:szCs w:val="22"/>
        </w:rPr>
        <w:t>z</w:t>
      </w:r>
      <w:r w:rsidRPr="001F623B">
        <w:rPr>
          <w:rFonts w:ascii="Calibri" w:hAnsi="Calibri" w:cs="Calibri"/>
          <w:sz w:val="22"/>
          <w:szCs w:val="22"/>
        </w:rPr>
        <w:t>ation, may to some extent b</w:t>
      </w:r>
      <w:r w:rsidR="009935EC" w:rsidRPr="001F623B">
        <w:rPr>
          <w:rFonts w:ascii="Calibri" w:hAnsi="Calibri" w:cs="Calibri"/>
          <w:sz w:val="22"/>
          <w:szCs w:val="22"/>
        </w:rPr>
        <w:t>e attributed to human activity (Lindahl and Grace 2012).</w:t>
      </w:r>
      <w:r w:rsidRPr="001F623B">
        <w:rPr>
          <w:rFonts w:ascii="Calibri" w:hAnsi="Calibri" w:cs="Calibri"/>
          <w:sz w:val="22"/>
          <w:szCs w:val="22"/>
        </w:rPr>
        <w:t xml:space="preserve"> </w:t>
      </w:r>
      <w:r w:rsidR="001C49DF" w:rsidRPr="001F623B">
        <w:rPr>
          <w:rFonts w:ascii="Calibri" w:hAnsi="Calibri" w:cs="Calibri"/>
          <w:sz w:val="22"/>
          <w:szCs w:val="22"/>
        </w:rPr>
        <w:t xml:space="preserve">Intensification of livestock production systems has steadily increased since the mid-1880s and </w:t>
      </w:r>
      <w:r w:rsidR="00D80085" w:rsidRPr="001F623B">
        <w:rPr>
          <w:rFonts w:ascii="Calibri" w:hAnsi="Calibri" w:cs="Calibri"/>
          <w:sz w:val="22"/>
          <w:szCs w:val="22"/>
        </w:rPr>
        <w:t xml:space="preserve">capital-intensive integrated industrial production systems </w:t>
      </w:r>
      <w:r w:rsidR="001C49DF" w:rsidRPr="001F623B">
        <w:rPr>
          <w:rFonts w:ascii="Calibri" w:hAnsi="Calibri" w:cs="Calibri"/>
          <w:sz w:val="22"/>
          <w:szCs w:val="22"/>
        </w:rPr>
        <w:t xml:space="preserve">now dominate global livestock food systems. </w:t>
      </w:r>
      <w:r w:rsidR="00D80085" w:rsidRPr="001F623B">
        <w:rPr>
          <w:rFonts w:ascii="Calibri" w:hAnsi="Calibri" w:cs="Calibri"/>
          <w:sz w:val="22"/>
          <w:szCs w:val="22"/>
        </w:rPr>
        <w:t>Intensification</w:t>
      </w:r>
      <w:r w:rsidR="001C49DF" w:rsidRPr="001F623B">
        <w:rPr>
          <w:rFonts w:ascii="Calibri" w:hAnsi="Calibri" w:cs="Calibri"/>
          <w:sz w:val="22"/>
          <w:szCs w:val="22"/>
        </w:rPr>
        <w:t xml:space="preserve"> has contributed to the emergence, spread and maintenance of new disease agents through shifting ecological immunology</w:t>
      </w:r>
      <w:r w:rsidR="0075767E" w:rsidRPr="001F623B">
        <w:rPr>
          <w:rFonts w:ascii="Calibri" w:hAnsi="Calibri" w:cs="Calibri"/>
          <w:sz w:val="22"/>
          <w:szCs w:val="22"/>
        </w:rPr>
        <w:t xml:space="preserve">, the </w:t>
      </w:r>
      <w:r w:rsidR="001C49DF" w:rsidRPr="001F623B">
        <w:rPr>
          <w:rFonts w:ascii="Calibri" w:hAnsi="Calibri" w:cs="Calibri"/>
          <w:sz w:val="22"/>
          <w:szCs w:val="22"/>
        </w:rPr>
        <w:t xml:space="preserve"> immunity produced as a result of interactions between the host, the environment and with the active involvement of parasites</w:t>
      </w:r>
      <w:r w:rsidR="00D80085" w:rsidRPr="001F623B">
        <w:rPr>
          <w:rFonts w:ascii="Calibri" w:hAnsi="Calibri" w:cs="Calibri"/>
          <w:sz w:val="22"/>
          <w:szCs w:val="22"/>
        </w:rPr>
        <w:t xml:space="preserve"> (</w:t>
      </w:r>
      <w:r w:rsidR="001C49DF" w:rsidRPr="001F623B">
        <w:rPr>
          <w:rFonts w:ascii="Calibri" w:hAnsi="Calibri" w:cs="Calibri"/>
          <w:sz w:val="22"/>
          <w:szCs w:val="22"/>
        </w:rPr>
        <w:t>Sadd and Schmid-Hempel 2009)</w:t>
      </w:r>
      <w:r w:rsidR="0075767E" w:rsidRPr="001F623B">
        <w:rPr>
          <w:rFonts w:ascii="Calibri" w:hAnsi="Calibri" w:cs="Calibri"/>
          <w:sz w:val="22"/>
          <w:szCs w:val="22"/>
        </w:rPr>
        <w:t>. Intensification has also</w:t>
      </w:r>
      <w:r w:rsidR="001C49DF" w:rsidRPr="001F623B">
        <w:rPr>
          <w:rFonts w:ascii="Calibri" w:hAnsi="Calibri" w:cs="Calibri"/>
          <w:sz w:val="22"/>
          <w:szCs w:val="22"/>
        </w:rPr>
        <w:t xml:space="preserve"> chang</w:t>
      </w:r>
      <w:r w:rsidR="0075767E" w:rsidRPr="001F623B">
        <w:rPr>
          <w:rFonts w:ascii="Calibri" w:hAnsi="Calibri" w:cs="Calibri"/>
          <w:sz w:val="22"/>
          <w:szCs w:val="22"/>
        </w:rPr>
        <w:t>ed the</w:t>
      </w:r>
      <w:r w:rsidR="001C49DF" w:rsidRPr="001F623B">
        <w:rPr>
          <w:rFonts w:ascii="Calibri" w:hAnsi="Calibri" w:cs="Calibri"/>
          <w:sz w:val="22"/>
          <w:szCs w:val="22"/>
        </w:rPr>
        <w:t xml:space="preserve"> nutritional profiles of animal-source food</w:t>
      </w:r>
      <w:r w:rsidR="0075767E" w:rsidRPr="001F623B">
        <w:rPr>
          <w:rFonts w:ascii="Calibri" w:hAnsi="Calibri" w:cs="Calibri"/>
          <w:sz w:val="22"/>
          <w:szCs w:val="22"/>
        </w:rPr>
        <w:t>s</w:t>
      </w:r>
      <w:r w:rsidR="001C49DF" w:rsidRPr="001F623B">
        <w:rPr>
          <w:rFonts w:ascii="Calibri" w:hAnsi="Calibri" w:cs="Calibri"/>
          <w:sz w:val="22"/>
          <w:szCs w:val="22"/>
        </w:rPr>
        <w:t xml:space="preserve"> and increased </w:t>
      </w:r>
      <w:r w:rsidR="0075767E" w:rsidRPr="001F623B">
        <w:rPr>
          <w:rFonts w:ascii="Calibri" w:hAnsi="Calibri" w:cs="Calibri"/>
          <w:sz w:val="22"/>
          <w:szCs w:val="22"/>
        </w:rPr>
        <w:t xml:space="preserve">the </w:t>
      </w:r>
      <w:r w:rsidR="001C49DF" w:rsidRPr="001F623B">
        <w:rPr>
          <w:rFonts w:ascii="Calibri" w:hAnsi="Calibri" w:cs="Calibri"/>
          <w:sz w:val="22"/>
          <w:szCs w:val="22"/>
        </w:rPr>
        <w:t>interaction and movement of people and their livestock.</w:t>
      </w:r>
    </w:p>
    <w:p w14:paraId="197C1360" w14:textId="77777777" w:rsidR="00903FEB" w:rsidRPr="001F623B" w:rsidRDefault="00903FEB" w:rsidP="00903FEB">
      <w:pPr>
        <w:rPr>
          <w:rFonts w:ascii="Calibri" w:hAnsi="Calibri" w:cs="Calibri"/>
          <w:sz w:val="22"/>
          <w:szCs w:val="22"/>
        </w:rPr>
      </w:pPr>
    </w:p>
    <w:p w14:paraId="47FFFAA7" w14:textId="5E31DE97" w:rsidR="00903FEB" w:rsidRPr="00903FEB" w:rsidRDefault="00903FEB" w:rsidP="00903FEB">
      <w:pPr>
        <w:rPr>
          <w:rFonts w:ascii="Calibri" w:hAnsi="Calibri" w:cs="Calibri"/>
          <w:sz w:val="22"/>
          <w:szCs w:val="22"/>
        </w:rPr>
      </w:pPr>
      <w:r w:rsidRPr="001F623B">
        <w:rPr>
          <w:rFonts w:ascii="Calibri" w:hAnsi="Calibri" w:cs="Calibri"/>
          <w:sz w:val="22"/>
          <w:szCs w:val="22"/>
        </w:rPr>
        <w:t xml:space="preserve">For example, </w:t>
      </w:r>
      <w:r w:rsidR="0075767E" w:rsidRPr="001F623B">
        <w:rPr>
          <w:rFonts w:ascii="Calibri" w:hAnsi="Calibri" w:cs="Calibri"/>
          <w:sz w:val="22"/>
          <w:szCs w:val="22"/>
        </w:rPr>
        <w:t xml:space="preserve">during </w:t>
      </w:r>
      <w:r w:rsidRPr="001F623B">
        <w:rPr>
          <w:rFonts w:ascii="Calibri" w:hAnsi="Calibri" w:cs="Calibri"/>
          <w:sz w:val="22"/>
          <w:szCs w:val="22"/>
        </w:rPr>
        <w:t>the past two decades the commerci</w:t>
      </w:r>
      <w:r w:rsidR="00511562" w:rsidRPr="001F623B">
        <w:rPr>
          <w:rFonts w:ascii="Calibri" w:hAnsi="Calibri" w:cs="Calibri"/>
          <w:sz w:val="22"/>
          <w:szCs w:val="22"/>
        </w:rPr>
        <w:t>al chicken industry has emphasi</w:t>
      </w:r>
      <w:r w:rsidR="001F623B" w:rsidRPr="001F623B">
        <w:rPr>
          <w:rFonts w:ascii="Calibri" w:hAnsi="Calibri" w:cs="Calibri"/>
          <w:sz w:val="22"/>
          <w:szCs w:val="22"/>
        </w:rPr>
        <w:t>z</w:t>
      </w:r>
      <w:r w:rsidRPr="001F623B">
        <w:rPr>
          <w:rFonts w:ascii="Calibri" w:hAnsi="Calibri" w:cs="Calibri"/>
          <w:sz w:val="22"/>
          <w:szCs w:val="22"/>
        </w:rPr>
        <w:t>ed the selection of production traits over disease resistance. A 2008 study reported that commercial pure</w:t>
      </w:r>
      <w:r w:rsidRPr="00903FEB">
        <w:rPr>
          <w:rFonts w:ascii="Calibri" w:hAnsi="Calibri" w:cs="Calibri"/>
          <w:sz w:val="22"/>
          <w:szCs w:val="22"/>
        </w:rPr>
        <w:t xml:space="preserve"> lines of chicken, both broiler (meat) and layer (egg), are missing significant genetic diversity found in noncommercial chickens</w:t>
      </w:r>
      <w:r w:rsidR="00511562">
        <w:rPr>
          <w:rFonts w:ascii="Calibri" w:hAnsi="Calibri" w:cs="Calibri"/>
          <w:sz w:val="22"/>
          <w:szCs w:val="22"/>
        </w:rPr>
        <w:t xml:space="preserve"> (Muir et al. 2008)</w:t>
      </w:r>
      <w:r w:rsidRPr="00903FEB">
        <w:rPr>
          <w:rFonts w:ascii="Calibri" w:hAnsi="Calibri" w:cs="Calibri"/>
          <w:sz w:val="22"/>
          <w:szCs w:val="22"/>
        </w:rPr>
        <w:t>. The evolution of new avian viruses and variants of existing virulent viruses has been facilitated due to the following characteristics of current poultry production systems including</w:t>
      </w:r>
      <w:r w:rsidR="001F623B">
        <w:rPr>
          <w:rFonts w:ascii="Calibri" w:hAnsi="Calibri" w:cs="Calibri"/>
          <w:sz w:val="22"/>
          <w:szCs w:val="22"/>
        </w:rPr>
        <w:t xml:space="preserve">: </w:t>
      </w:r>
      <w:r w:rsidR="0075767E">
        <w:rPr>
          <w:rFonts w:ascii="Calibri" w:hAnsi="Calibri" w:cs="Calibri"/>
          <w:sz w:val="22"/>
          <w:szCs w:val="22"/>
        </w:rPr>
        <w:t>(i)</w:t>
      </w:r>
      <w:r w:rsidRPr="00903FEB">
        <w:rPr>
          <w:rFonts w:ascii="Calibri" w:hAnsi="Calibri" w:cs="Calibri"/>
          <w:sz w:val="22"/>
          <w:szCs w:val="22"/>
        </w:rPr>
        <w:t xml:space="preserve"> host genetic homogeneity (with few host adaptive bottlenecks)</w:t>
      </w:r>
      <w:r w:rsidR="0075767E">
        <w:rPr>
          <w:rFonts w:ascii="Calibri" w:hAnsi="Calibri" w:cs="Calibri"/>
          <w:sz w:val="22"/>
          <w:szCs w:val="22"/>
        </w:rPr>
        <w:t>; (ii)</w:t>
      </w:r>
      <w:r w:rsidRPr="00903FEB">
        <w:rPr>
          <w:rFonts w:ascii="Calibri" w:hAnsi="Calibri" w:cs="Calibri"/>
          <w:sz w:val="22"/>
          <w:szCs w:val="22"/>
        </w:rPr>
        <w:t xml:space="preserve"> high density rearing (allowing close animal-to-animal contact and favoring transmission of virulent over low pathogenic strains)</w:t>
      </w:r>
      <w:r w:rsidR="0075767E">
        <w:rPr>
          <w:rFonts w:ascii="Calibri" w:hAnsi="Calibri" w:cs="Calibri"/>
          <w:sz w:val="22"/>
          <w:szCs w:val="22"/>
        </w:rPr>
        <w:t>; and (iii)</w:t>
      </w:r>
      <w:r w:rsidRPr="00903FEB">
        <w:rPr>
          <w:rFonts w:ascii="Calibri" w:hAnsi="Calibri" w:cs="Calibri"/>
          <w:sz w:val="22"/>
          <w:szCs w:val="22"/>
        </w:rPr>
        <w:t xml:space="preserve"> intensive vaccination programs </w:t>
      </w:r>
      <w:r w:rsidR="0075767E">
        <w:rPr>
          <w:rFonts w:ascii="Calibri" w:hAnsi="Calibri" w:cs="Calibri"/>
          <w:sz w:val="22"/>
          <w:szCs w:val="22"/>
        </w:rPr>
        <w:t>that</w:t>
      </w:r>
      <w:r w:rsidRPr="00903FEB">
        <w:rPr>
          <w:rFonts w:ascii="Calibri" w:hAnsi="Calibri" w:cs="Calibri"/>
          <w:sz w:val="22"/>
          <w:szCs w:val="22"/>
        </w:rPr>
        <w:t xml:space="preserve"> provide selective immune pressures and may be executed improp</w:t>
      </w:r>
      <w:r w:rsidR="00511562">
        <w:rPr>
          <w:rFonts w:ascii="Calibri" w:hAnsi="Calibri" w:cs="Calibri"/>
          <w:sz w:val="22"/>
          <w:szCs w:val="22"/>
        </w:rPr>
        <w:t>erly in resource-poor settings</w:t>
      </w:r>
      <w:r w:rsidR="0075767E">
        <w:rPr>
          <w:rFonts w:ascii="Calibri" w:hAnsi="Calibri" w:cs="Calibri"/>
          <w:sz w:val="22"/>
          <w:szCs w:val="22"/>
        </w:rPr>
        <w:t xml:space="preserve"> (</w:t>
      </w:r>
      <w:r w:rsidR="00511562">
        <w:rPr>
          <w:rFonts w:ascii="Calibri" w:hAnsi="Calibri" w:cs="Calibri"/>
          <w:sz w:val="22"/>
          <w:szCs w:val="22"/>
        </w:rPr>
        <w:t>Alders et al. 2013).</w:t>
      </w:r>
    </w:p>
    <w:p w14:paraId="423FBC06" w14:textId="77777777" w:rsidR="00903FEB" w:rsidRPr="00903FEB" w:rsidRDefault="00903FEB" w:rsidP="00903FEB">
      <w:pPr>
        <w:rPr>
          <w:rFonts w:ascii="Calibri" w:hAnsi="Calibri" w:cs="Calibri"/>
          <w:sz w:val="22"/>
          <w:szCs w:val="22"/>
        </w:rPr>
      </w:pPr>
    </w:p>
    <w:p w14:paraId="221D067A" w14:textId="01529E43" w:rsidR="00903FEB" w:rsidRPr="00903FEB" w:rsidRDefault="00903FEB" w:rsidP="00903FEB">
      <w:pPr>
        <w:rPr>
          <w:rFonts w:ascii="Calibri" w:hAnsi="Calibri" w:cs="Calibri"/>
          <w:sz w:val="22"/>
          <w:szCs w:val="22"/>
        </w:rPr>
      </w:pPr>
      <w:r w:rsidRPr="00903FEB">
        <w:rPr>
          <w:rFonts w:ascii="Calibri" w:hAnsi="Calibri" w:cs="Calibri"/>
          <w:sz w:val="22"/>
          <w:szCs w:val="22"/>
        </w:rPr>
        <w:lastRenderedPageBreak/>
        <w:t xml:space="preserve">As a result of the HPAI H5N1 pandemic, millions of poultry were killed or slaughtered to control the spread of the disease. </w:t>
      </w:r>
      <w:r w:rsidR="0075767E">
        <w:rPr>
          <w:rFonts w:ascii="Calibri" w:hAnsi="Calibri" w:cs="Calibri"/>
          <w:sz w:val="22"/>
          <w:szCs w:val="22"/>
        </w:rPr>
        <w:t xml:space="preserve">More than </w:t>
      </w:r>
      <w:r w:rsidRPr="00903FEB">
        <w:rPr>
          <w:rFonts w:ascii="Calibri" w:hAnsi="Calibri" w:cs="Calibri"/>
          <w:sz w:val="22"/>
          <w:szCs w:val="22"/>
        </w:rPr>
        <w:t xml:space="preserve">50 million domestic birds were slaughtered </w:t>
      </w:r>
      <w:r w:rsidR="0075767E">
        <w:rPr>
          <w:rFonts w:ascii="Calibri" w:hAnsi="Calibri" w:cs="Calibri"/>
          <w:sz w:val="22"/>
          <w:szCs w:val="22"/>
        </w:rPr>
        <w:t xml:space="preserve">and destroyed </w:t>
      </w:r>
      <w:r w:rsidRPr="00903FEB">
        <w:rPr>
          <w:rFonts w:ascii="Calibri" w:hAnsi="Calibri" w:cs="Calibri"/>
          <w:sz w:val="22"/>
          <w:szCs w:val="22"/>
        </w:rPr>
        <w:t xml:space="preserve">in Vietnam alone due to HPAI </w:t>
      </w:r>
      <w:r w:rsidR="0075767E">
        <w:rPr>
          <w:rFonts w:ascii="Calibri" w:hAnsi="Calibri" w:cs="Calibri"/>
          <w:sz w:val="22"/>
          <w:szCs w:val="22"/>
        </w:rPr>
        <w:t xml:space="preserve">H5N1 </w:t>
      </w:r>
      <w:r w:rsidRPr="00903FEB">
        <w:rPr>
          <w:rFonts w:ascii="Calibri" w:hAnsi="Calibri" w:cs="Calibri"/>
          <w:sz w:val="22"/>
          <w:szCs w:val="22"/>
        </w:rPr>
        <w:t xml:space="preserve">infection. Widespread culling of family </w:t>
      </w:r>
      <w:r w:rsidRPr="001F623B">
        <w:rPr>
          <w:rFonts w:ascii="Calibri" w:hAnsi="Calibri" w:cs="Calibri"/>
          <w:sz w:val="22"/>
          <w:szCs w:val="22"/>
        </w:rPr>
        <w:t>poultry has</w:t>
      </w:r>
      <w:r w:rsidR="0075767E" w:rsidRPr="001F623B">
        <w:rPr>
          <w:rFonts w:ascii="Calibri" w:hAnsi="Calibri" w:cs="Calibri"/>
          <w:sz w:val="22"/>
          <w:szCs w:val="22"/>
        </w:rPr>
        <w:t xml:space="preserve"> negatively affected</w:t>
      </w:r>
      <w:r w:rsidRPr="001F623B">
        <w:rPr>
          <w:rFonts w:ascii="Calibri" w:hAnsi="Calibri" w:cs="Calibri"/>
          <w:sz w:val="22"/>
          <w:szCs w:val="22"/>
        </w:rPr>
        <w:t xml:space="preserve"> vulnerable households, including those headed by women, contributing to increased stunting in children under five in Egypt and decreased enrolment of girls in school in Turkey </w:t>
      </w:r>
      <w:r w:rsidR="0075767E" w:rsidRPr="001F623B">
        <w:rPr>
          <w:rFonts w:ascii="Calibri" w:hAnsi="Calibri" w:cs="Calibri"/>
          <w:sz w:val="22"/>
          <w:szCs w:val="22"/>
        </w:rPr>
        <w:t>after</w:t>
      </w:r>
      <w:r w:rsidRPr="001F623B">
        <w:rPr>
          <w:rFonts w:ascii="Calibri" w:hAnsi="Calibri" w:cs="Calibri"/>
          <w:sz w:val="22"/>
          <w:szCs w:val="22"/>
        </w:rPr>
        <w:t xml:space="preserve"> HPAI H5N1 control activities. Economic losses in the South East Asia region have totaled a</w:t>
      </w:r>
      <w:r w:rsidR="0075767E" w:rsidRPr="001F623B">
        <w:rPr>
          <w:rFonts w:ascii="Calibri" w:hAnsi="Calibri" w:cs="Calibri"/>
          <w:sz w:val="22"/>
          <w:szCs w:val="22"/>
        </w:rPr>
        <w:t>bout</w:t>
      </w:r>
      <w:r w:rsidRPr="001F623B">
        <w:rPr>
          <w:rFonts w:ascii="Calibri" w:hAnsi="Calibri" w:cs="Calibri"/>
          <w:sz w:val="22"/>
          <w:szCs w:val="22"/>
        </w:rPr>
        <w:t xml:space="preserve"> US$10 billion</w:t>
      </w:r>
      <w:r w:rsidR="0075767E" w:rsidRPr="001F623B">
        <w:rPr>
          <w:rFonts w:ascii="Calibri" w:hAnsi="Calibri" w:cs="Calibri"/>
          <w:sz w:val="22"/>
          <w:szCs w:val="22"/>
        </w:rPr>
        <w:t xml:space="preserve"> and</w:t>
      </w:r>
      <w:r w:rsidRPr="001F623B">
        <w:rPr>
          <w:rFonts w:ascii="Calibri" w:hAnsi="Calibri" w:cs="Calibri"/>
          <w:sz w:val="22"/>
          <w:szCs w:val="22"/>
        </w:rPr>
        <w:t xml:space="preserve"> </w:t>
      </w:r>
      <w:r w:rsidR="0075767E" w:rsidRPr="001F623B">
        <w:rPr>
          <w:rFonts w:ascii="Calibri" w:hAnsi="Calibri" w:cs="Calibri"/>
          <w:sz w:val="22"/>
          <w:szCs w:val="22"/>
        </w:rPr>
        <w:t xml:space="preserve">have </w:t>
      </w:r>
      <w:r w:rsidRPr="001F623B">
        <w:rPr>
          <w:rFonts w:ascii="Calibri" w:hAnsi="Calibri" w:cs="Calibri"/>
          <w:sz w:val="22"/>
          <w:szCs w:val="22"/>
        </w:rPr>
        <w:t>had direct and indi</w:t>
      </w:r>
      <w:r w:rsidR="00511562" w:rsidRPr="001F623B">
        <w:rPr>
          <w:rFonts w:ascii="Calibri" w:hAnsi="Calibri" w:cs="Calibri"/>
          <w:sz w:val="22"/>
          <w:szCs w:val="22"/>
        </w:rPr>
        <w:t xml:space="preserve">rect </w:t>
      </w:r>
      <w:r w:rsidR="0075767E" w:rsidRPr="001F623B">
        <w:rPr>
          <w:rFonts w:ascii="Calibri" w:hAnsi="Calibri" w:cs="Calibri"/>
          <w:sz w:val="22"/>
          <w:szCs w:val="22"/>
        </w:rPr>
        <w:t xml:space="preserve">negative </w:t>
      </w:r>
      <w:r w:rsidR="00511562" w:rsidRPr="001F623B">
        <w:rPr>
          <w:rFonts w:ascii="Calibri" w:hAnsi="Calibri" w:cs="Calibri"/>
          <w:sz w:val="22"/>
          <w:szCs w:val="22"/>
        </w:rPr>
        <w:t>effects on food security</w:t>
      </w:r>
      <w:r w:rsidR="00511562">
        <w:rPr>
          <w:rFonts w:ascii="Calibri" w:hAnsi="Calibri" w:cs="Calibri"/>
          <w:sz w:val="22"/>
          <w:szCs w:val="22"/>
        </w:rPr>
        <w:t xml:space="preserve"> (Alders et al. 2013).</w:t>
      </w:r>
    </w:p>
    <w:p w14:paraId="4E8E370F" w14:textId="77777777" w:rsidR="00903FEB" w:rsidRPr="00903FEB" w:rsidRDefault="00903FEB" w:rsidP="00903FEB">
      <w:pPr>
        <w:rPr>
          <w:rFonts w:ascii="Calibri" w:hAnsi="Calibri" w:cs="Calibri"/>
          <w:sz w:val="22"/>
          <w:szCs w:val="22"/>
        </w:rPr>
      </w:pPr>
    </w:p>
    <w:p w14:paraId="40E311E4" w14:textId="52DDB4D9" w:rsidR="002B6F91" w:rsidRDefault="00903FEB" w:rsidP="0050570F">
      <w:pPr>
        <w:rPr>
          <w:rFonts w:ascii="Calibri" w:hAnsi="Calibri" w:cs="Calibri"/>
          <w:sz w:val="22"/>
          <w:szCs w:val="22"/>
        </w:rPr>
      </w:pPr>
      <w:r w:rsidRPr="00903FEB">
        <w:rPr>
          <w:rFonts w:ascii="Calibri" w:hAnsi="Calibri" w:cs="Calibri"/>
          <w:sz w:val="22"/>
          <w:szCs w:val="22"/>
        </w:rPr>
        <w:t xml:space="preserve">The link between our food systems and </w:t>
      </w:r>
      <w:r w:rsidR="0075767E">
        <w:rPr>
          <w:rFonts w:ascii="Calibri" w:hAnsi="Calibri" w:cs="Calibri"/>
          <w:sz w:val="22"/>
          <w:szCs w:val="22"/>
        </w:rPr>
        <w:t xml:space="preserve">EIDs </w:t>
      </w:r>
      <w:r w:rsidRPr="00903FEB">
        <w:rPr>
          <w:rFonts w:ascii="Calibri" w:hAnsi="Calibri" w:cs="Calibri"/>
          <w:sz w:val="22"/>
          <w:szCs w:val="22"/>
        </w:rPr>
        <w:t xml:space="preserve">is also demonstrated by other </w:t>
      </w:r>
      <w:r w:rsidRPr="00DE6ABC">
        <w:rPr>
          <w:rFonts w:ascii="Calibri" w:hAnsi="Calibri" w:cs="Calibri"/>
          <w:sz w:val="22"/>
          <w:szCs w:val="22"/>
        </w:rPr>
        <w:t>recent outbreaks of Ebola, SARS and antimicrobial resistant bacteria</w:t>
      </w:r>
      <w:r w:rsidR="00511562" w:rsidRPr="00DE6ABC">
        <w:rPr>
          <w:rFonts w:ascii="Calibri" w:hAnsi="Calibri" w:cs="Calibri"/>
          <w:sz w:val="22"/>
          <w:szCs w:val="22"/>
        </w:rPr>
        <w:t xml:space="preserve"> (Lindahl and Grace 2012)</w:t>
      </w:r>
      <w:r w:rsidR="00D3410B">
        <w:rPr>
          <w:rFonts w:ascii="Calibri" w:hAnsi="Calibri" w:cs="Calibri"/>
          <w:sz w:val="22"/>
          <w:szCs w:val="22"/>
        </w:rPr>
        <w:t xml:space="preserve">.  </w:t>
      </w:r>
      <w:r w:rsidR="002073A2">
        <w:rPr>
          <w:rFonts w:ascii="Calibri" w:hAnsi="Calibri" w:cs="Calibri"/>
          <w:sz w:val="22"/>
          <w:szCs w:val="22"/>
        </w:rPr>
        <w:t xml:space="preserve">It is estimated that by 2050, the global consequences of antimicrobial resistance (AMR) will result in up to 10 million </w:t>
      </w:r>
      <w:r w:rsidR="00D3410B">
        <w:rPr>
          <w:rFonts w:ascii="Calibri" w:hAnsi="Calibri" w:cs="Calibri"/>
          <w:sz w:val="22"/>
          <w:szCs w:val="22"/>
        </w:rPr>
        <w:t xml:space="preserve">human </w:t>
      </w:r>
      <w:r w:rsidR="002073A2">
        <w:rPr>
          <w:rFonts w:ascii="Calibri" w:hAnsi="Calibri" w:cs="Calibri"/>
          <w:sz w:val="22"/>
          <w:szCs w:val="22"/>
        </w:rPr>
        <w:t>deaths annually (O’Neil 2014). Anti</w:t>
      </w:r>
      <w:r w:rsidR="0075767E">
        <w:rPr>
          <w:rFonts w:ascii="Calibri" w:hAnsi="Calibri" w:cs="Calibri"/>
          <w:sz w:val="22"/>
          <w:szCs w:val="22"/>
        </w:rPr>
        <w:t>microbial</w:t>
      </w:r>
      <w:r w:rsidR="002073A2">
        <w:rPr>
          <w:rFonts w:ascii="Calibri" w:hAnsi="Calibri" w:cs="Calibri"/>
          <w:sz w:val="22"/>
          <w:szCs w:val="22"/>
        </w:rPr>
        <w:t xml:space="preserve"> use within agriculture is now established as one of the key drivers of </w:t>
      </w:r>
      <w:r w:rsidR="00B143FD">
        <w:rPr>
          <w:rFonts w:ascii="Calibri" w:hAnsi="Calibri" w:cs="Calibri"/>
          <w:sz w:val="22"/>
          <w:szCs w:val="22"/>
        </w:rPr>
        <w:t xml:space="preserve">antimicrobial resistance in humans. </w:t>
      </w:r>
      <w:r w:rsidR="00B87545">
        <w:rPr>
          <w:rFonts w:ascii="Calibri" w:hAnsi="Calibri" w:cs="Calibri"/>
          <w:sz w:val="22"/>
          <w:szCs w:val="22"/>
        </w:rPr>
        <w:t xml:space="preserve">There </w:t>
      </w:r>
      <w:r w:rsidR="00F01CAF">
        <w:rPr>
          <w:rFonts w:ascii="Calibri" w:hAnsi="Calibri" w:cs="Calibri"/>
          <w:sz w:val="22"/>
          <w:szCs w:val="22"/>
        </w:rPr>
        <w:t>are</w:t>
      </w:r>
      <w:r w:rsidR="00B87545">
        <w:rPr>
          <w:rFonts w:ascii="Calibri" w:hAnsi="Calibri" w:cs="Calibri"/>
          <w:sz w:val="22"/>
          <w:szCs w:val="22"/>
        </w:rPr>
        <w:t xml:space="preserve"> insufficient data</w:t>
      </w:r>
      <w:r w:rsidR="00D34AC7">
        <w:rPr>
          <w:rFonts w:ascii="Calibri" w:hAnsi="Calibri" w:cs="Calibri"/>
          <w:sz w:val="22"/>
          <w:szCs w:val="22"/>
        </w:rPr>
        <w:t xml:space="preserve"> of the amount of antimicrobial consumption in food</w:t>
      </w:r>
      <w:r w:rsidR="00F01CAF">
        <w:rPr>
          <w:rFonts w:ascii="Calibri" w:hAnsi="Calibri" w:cs="Calibri"/>
          <w:sz w:val="22"/>
          <w:szCs w:val="22"/>
        </w:rPr>
        <w:t>-</w:t>
      </w:r>
      <w:r w:rsidR="00D34AC7">
        <w:rPr>
          <w:rFonts w:ascii="Calibri" w:hAnsi="Calibri" w:cs="Calibri"/>
          <w:sz w:val="22"/>
          <w:szCs w:val="22"/>
        </w:rPr>
        <w:t>producing animals</w:t>
      </w:r>
      <w:r w:rsidR="00B87545">
        <w:rPr>
          <w:rFonts w:ascii="Calibri" w:hAnsi="Calibri" w:cs="Calibri"/>
          <w:sz w:val="22"/>
          <w:szCs w:val="22"/>
        </w:rPr>
        <w:t xml:space="preserve">. </w:t>
      </w:r>
      <w:r w:rsidR="00D34AC7">
        <w:rPr>
          <w:rFonts w:ascii="Calibri" w:hAnsi="Calibri" w:cs="Calibri"/>
          <w:sz w:val="22"/>
          <w:szCs w:val="22"/>
        </w:rPr>
        <w:t xml:space="preserve">However, </w:t>
      </w:r>
      <w:r w:rsidR="00C80E82">
        <w:rPr>
          <w:rFonts w:ascii="Calibri" w:hAnsi="Calibri" w:cs="Calibri"/>
          <w:sz w:val="22"/>
          <w:szCs w:val="22"/>
        </w:rPr>
        <w:t>Van Boeckel et al</w:t>
      </w:r>
      <w:r w:rsidR="00F01CAF">
        <w:rPr>
          <w:rFonts w:ascii="Calibri" w:hAnsi="Calibri" w:cs="Calibri"/>
          <w:sz w:val="22"/>
          <w:szCs w:val="22"/>
        </w:rPr>
        <w:t>.</w:t>
      </w:r>
      <w:r w:rsidR="00C80E82">
        <w:rPr>
          <w:rFonts w:ascii="Calibri" w:hAnsi="Calibri" w:cs="Calibri"/>
          <w:sz w:val="22"/>
          <w:szCs w:val="22"/>
        </w:rPr>
        <w:t xml:space="preserve"> (2015), estimated antimicrobial consumption in livestock to account </w:t>
      </w:r>
      <w:r w:rsidR="00D3410B">
        <w:rPr>
          <w:rFonts w:ascii="Calibri" w:hAnsi="Calibri" w:cs="Calibri"/>
          <w:sz w:val="22"/>
          <w:szCs w:val="22"/>
        </w:rPr>
        <w:t xml:space="preserve">for </w:t>
      </w:r>
      <w:r w:rsidR="00F01CAF">
        <w:rPr>
          <w:rFonts w:ascii="Calibri" w:hAnsi="Calibri" w:cs="Calibri"/>
          <w:sz w:val="22"/>
          <w:szCs w:val="22"/>
        </w:rPr>
        <w:t xml:space="preserve">about </w:t>
      </w:r>
      <w:r w:rsidR="00D34AC7">
        <w:rPr>
          <w:rFonts w:ascii="Calibri" w:hAnsi="Calibri" w:cs="Calibri"/>
          <w:sz w:val="22"/>
          <w:szCs w:val="22"/>
        </w:rPr>
        <w:t>63,151 tons</w:t>
      </w:r>
      <w:r w:rsidR="00C80E82">
        <w:rPr>
          <w:rFonts w:ascii="Calibri" w:hAnsi="Calibri" w:cs="Calibri"/>
          <w:sz w:val="22"/>
          <w:szCs w:val="22"/>
        </w:rPr>
        <w:t xml:space="preserve"> in 2010 </w:t>
      </w:r>
      <w:r w:rsidR="00D34AC7">
        <w:rPr>
          <w:rFonts w:ascii="Calibri" w:hAnsi="Calibri" w:cs="Calibri"/>
          <w:sz w:val="22"/>
          <w:szCs w:val="22"/>
        </w:rPr>
        <w:t>with a 67% growth</w:t>
      </w:r>
      <w:r w:rsidR="00D3410B">
        <w:rPr>
          <w:rFonts w:ascii="Calibri" w:hAnsi="Calibri" w:cs="Calibri"/>
          <w:sz w:val="22"/>
          <w:szCs w:val="22"/>
        </w:rPr>
        <w:t xml:space="preserve"> estima</w:t>
      </w:r>
      <w:r w:rsidR="001C49DF">
        <w:rPr>
          <w:rFonts w:ascii="Calibri" w:hAnsi="Calibri" w:cs="Calibri"/>
          <w:sz w:val="22"/>
          <w:szCs w:val="22"/>
        </w:rPr>
        <w:t>t</w:t>
      </w:r>
      <w:r w:rsidR="00D3410B">
        <w:rPr>
          <w:rFonts w:ascii="Calibri" w:hAnsi="Calibri" w:cs="Calibri"/>
          <w:sz w:val="22"/>
          <w:szCs w:val="22"/>
        </w:rPr>
        <w:t>ed</w:t>
      </w:r>
      <w:r w:rsidR="00D34AC7">
        <w:rPr>
          <w:rFonts w:ascii="Calibri" w:hAnsi="Calibri" w:cs="Calibri"/>
          <w:sz w:val="22"/>
          <w:szCs w:val="22"/>
        </w:rPr>
        <w:t xml:space="preserve"> by 2030</w:t>
      </w:r>
      <w:r w:rsidR="002073A2">
        <w:rPr>
          <w:rFonts w:ascii="Calibri" w:hAnsi="Calibri" w:cs="Calibri"/>
          <w:sz w:val="22"/>
          <w:szCs w:val="22"/>
        </w:rPr>
        <w:t xml:space="preserve">. </w:t>
      </w:r>
      <w:r w:rsidR="00C201DC">
        <w:rPr>
          <w:rFonts w:ascii="Calibri" w:hAnsi="Calibri" w:cs="Calibri"/>
          <w:sz w:val="22"/>
          <w:szCs w:val="22"/>
        </w:rPr>
        <w:t xml:space="preserve">The global increase is largely attributed to the growing number of animals being produced for food and the adoption of intensive animal farming </w:t>
      </w:r>
      <w:r w:rsidR="00C201DC" w:rsidRPr="002073A2">
        <w:rPr>
          <w:rFonts w:ascii="Calibri" w:hAnsi="Calibri" w:cs="Calibri"/>
          <w:sz w:val="22"/>
          <w:szCs w:val="22"/>
        </w:rPr>
        <w:t>(Van Boeckel et al. 2015)</w:t>
      </w:r>
      <w:r w:rsidR="00C201DC">
        <w:rPr>
          <w:rFonts w:ascii="Calibri" w:hAnsi="Calibri" w:cs="Calibri"/>
          <w:sz w:val="22"/>
          <w:szCs w:val="22"/>
        </w:rPr>
        <w:t>.</w:t>
      </w:r>
      <w:r w:rsidR="00B87545">
        <w:rPr>
          <w:rFonts w:ascii="Calibri" w:hAnsi="Calibri" w:cs="Calibri"/>
          <w:sz w:val="22"/>
          <w:szCs w:val="22"/>
        </w:rPr>
        <w:t xml:space="preserve"> </w:t>
      </w:r>
      <w:r w:rsidR="004263F9">
        <w:rPr>
          <w:rFonts w:ascii="Calibri" w:hAnsi="Calibri" w:cs="Calibri"/>
          <w:sz w:val="22"/>
          <w:szCs w:val="22"/>
        </w:rPr>
        <w:t xml:space="preserve">Evidence of the transmission of antimicrobial-resistant microbes from animals to humans is particularly well established for common foodborne pathogens such as </w:t>
      </w:r>
      <w:r w:rsidR="004263F9" w:rsidRPr="00506EB0">
        <w:rPr>
          <w:rFonts w:ascii="Calibri" w:hAnsi="Calibri" w:cs="Calibri"/>
          <w:i/>
          <w:sz w:val="22"/>
          <w:szCs w:val="22"/>
        </w:rPr>
        <w:t xml:space="preserve">Salmonella </w:t>
      </w:r>
      <w:r w:rsidR="004263F9" w:rsidRPr="001F623B">
        <w:rPr>
          <w:rFonts w:ascii="Calibri" w:hAnsi="Calibri" w:cs="Calibri"/>
          <w:sz w:val="22"/>
          <w:szCs w:val="22"/>
        </w:rPr>
        <w:t xml:space="preserve">serovars </w:t>
      </w:r>
      <w:r w:rsidR="004263F9" w:rsidRPr="004263F9">
        <w:rPr>
          <w:rFonts w:ascii="Calibri" w:hAnsi="Calibri" w:cs="Calibri"/>
          <w:sz w:val="22"/>
          <w:szCs w:val="22"/>
        </w:rPr>
        <w:t xml:space="preserve">and </w:t>
      </w:r>
      <w:r w:rsidR="004263F9" w:rsidRPr="00506EB0">
        <w:rPr>
          <w:rFonts w:ascii="Calibri" w:hAnsi="Calibri" w:cs="Calibri"/>
          <w:i/>
          <w:sz w:val="22"/>
          <w:szCs w:val="22"/>
        </w:rPr>
        <w:t>Campylobacter spp</w:t>
      </w:r>
      <w:r w:rsidR="00F01CAF">
        <w:rPr>
          <w:rFonts w:ascii="Calibri" w:hAnsi="Calibri" w:cs="Calibri"/>
          <w:i/>
          <w:sz w:val="22"/>
          <w:szCs w:val="22"/>
        </w:rPr>
        <w:t>.</w:t>
      </w:r>
      <w:r w:rsidR="004263F9" w:rsidRPr="003A2B0B">
        <w:rPr>
          <w:rFonts w:ascii="Calibri" w:hAnsi="Calibri" w:cs="Calibri"/>
          <w:i/>
          <w:sz w:val="22"/>
          <w:szCs w:val="22"/>
        </w:rPr>
        <w:t xml:space="preserve"> </w:t>
      </w:r>
      <w:r w:rsidR="003A2B0B" w:rsidRPr="00506EB0">
        <w:rPr>
          <w:rFonts w:ascii="Calibri" w:hAnsi="Calibri" w:cs="Calibri"/>
          <w:sz w:val="22"/>
          <w:szCs w:val="22"/>
        </w:rPr>
        <w:t>(Holmes et al.</w:t>
      </w:r>
      <w:r w:rsidR="002B6F91">
        <w:rPr>
          <w:rFonts w:ascii="Calibri" w:hAnsi="Calibri" w:cs="Calibri"/>
          <w:sz w:val="22"/>
          <w:szCs w:val="22"/>
        </w:rPr>
        <w:t xml:space="preserve"> 2016</w:t>
      </w:r>
      <w:r w:rsidR="003A2B0B" w:rsidRPr="00506EB0">
        <w:rPr>
          <w:rFonts w:ascii="Calibri" w:hAnsi="Calibri" w:cs="Calibri"/>
          <w:sz w:val="22"/>
          <w:szCs w:val="22"/>
        </w:rPr>
        <w:t>)</w:t>
      </w:r>
      <w:r w:rsidR="005B03AA">
        <w:rPr>
          <w:rFonts w:ascii="Calibri" w:hAnsi="Calibri" w:cs="Calibri"/>
          <w:sz w:val="22"/>
          <w:szCs w:val="22"/>
        </w:rPr>
        <w:t xml:space="preserve">. </w:t>
      </w:r>
      <w:r w:rsidR="00F01CAF">
        <w:rPr>
          <w:rFonts w:ascii="Calibri" w:hAnsi="Calibri" w:cs="Calibri"/>
          <w:sz w:val="22"/>
          <w:szCs w:val="22"/>
        </w:rPr>
        <w:t xml:space="preserve">For example, in </w:t>
      </w:r>
      <w:r w:rsidR="00F01CAF" w:rsidRPr="001F623B">
        <w:rPr>
          <w:rFonts w:ascii="Calibri" w:hAnsi="Calibri" w:cs="Calibri"/>
          <w:sz w:val="22"/>
          <w:szCs w:val="22"/>
        </w:rPr>
        <w:t xml:space="preserve">north-eastern Thailand </w:t>
      </w:r>
      <w:r w:rsidR="00D3410B" w:rsidRPr="001F623B">
        <w:rPr>
          <w:rFonts w:ascii="Calibri" w:hAnsi="Calibri" w:cs="Calibri"/>
          <w:sz w:val="22"/>
          <w:szCs w:val="22"/>
        </w:rPr>
        <w:t>Sinwat</w:t>
      </w:r>
      <w:r w:rsidR="00F01CAF" w:rsidRPr="001F623B">
        <w:rPr>
          <w:rFonts w:ascii="Calibri" w:hAnsi="Calibri" w:cs="Calibri"/>
          <w:sz w:val="22"/>
          <w:szCs w:val="22"/>
        </w:rPr>
        <w:t xml:space="preserve"> et al. (</w:t>
      </w:r>
      <w:r w:rsidR="00D3410B" w:rsidRPr="001F623B">
        <w:rPr>
          <w:rFonts w:ascii="Calibri" w:hAnsi="Calibri" w:cs="Calibri"/>
          <w:sz w:val="22"/>
          <w:szCs w:val="22"/>
        </w:rPr>
        <w:t>2015</w:t>
      </w:r>
      <w:r w:rsidR="00DE5C73" w:rsidRPr="001F623B">
        <w:rPr>
          <w:rFonts w:ascii="Calibri" w:hAnsi="Calibri" w:cs="Calibri"/>
          <w:sz w:val="22"/>
          <w:szCs w:val="22"/>
        </w:rPr>
        <w:t>) found all the tested Salmonella isolates from raw pork, raw chicken meat and humans suffering diarrhea were resistant to at least one antibiotic</w:t>
      </w:r>
      <w:r w:rsidR="00F01CAF" w:rsidRPr="001F623B">
        <w:rPr>
          <w:rFonts w:ascii="Calibri" w:hAnsi="Calibri" w:cs="Calibri"/>
          <w:sz w:val="22"/>
          <w:szCs w:val="22"/>
        </w:rPr>
        <w:t>,</w:t>
      </w:r>
      <w:r w:rsidR="00DE5C73" w:rsidRPr="001F623B">
        <w:rPr>
          <w:rFonts w:ascii="Calibri" w:hAnsi="Calibri" w:cs="Calibri"/>
          <w:sz w:val="22"/>
          <w:szCs w:val="22"/>
        </w:rPr>
        <w:t xml:space="preserve"> with most exhibiting multi-drug resistance (Sinwat</w:t>
      </w:r>
      <w:r w:rsidR="00D3410B" w:rsidRPr="001F623B">
        <w:rPr>
          <w:rFonts w:ascii="Calibri" w:hAnsi="Calibri" w:cs="Calibri"/>
          <w:sz w:val="22"/>
          <w:szCs w:val="22"/>
        </w:rPr>
        <w:t xml:space="preserve"> et al</w:t>
      </w:r>
      <w:r w:rsidR="00DE5C73" w:rsidRPr="001F623B">
        <w:rPr>
          <w:rFonts w:ascii="Calibri" w:hAnsi="Calibri" w:cs="Calibri"/>
          <w:sz w:val="22"/>
          <w:szCs w:val="22"/>
        </w:rPr>
        <w:t xml:space="preserve"> 2015).</w:t>
      </w:r>
      <w:r w:rsidR="00DE5C73">
        <w:rPr>
          <w:rFonts w:ascii="Calibri" w:hAnsi="Calibri" w:cs="Calibri"/>
          <w:sz w:val="22"/>
          <w:szCs w:val="22"/>
        </w:rPr>
        <w:t xml:space="preserve"> </w:t>
      </w:r>
    </w:p>
    <w:p w14:paraId="623230B1" w14:textId="77777777" w:rsidR="002B6F91" w:rsidRDefault="002B6F91" w:rsidP="0050570F">
      <w:pPr>
        <w:rPr>
          <w:rFonts w:ascii="Calibri" w:hAnsi="Calibri" w:cs="Calibri"/>
          <w:sz w:val="22"/>
          <w:szCs w:val="22"/>
        </w:rPr>
      </w:pPr>
    </w:p>
    <w:p w14:paraId="3A82E07A" w14:textId="3E918CEA" w:rsidR="0050570F" w:rsidRPr="001F623B" w:rsidRDefault="0050570F" w:rsidP="0050570F">
      <w:pPr>
        <w:rPr>
          <w:rFonts w:ascii="Calibri" w:eastAsia="MS Mincho" w:hAnsi="Calibri" w:cs="Times New Roman"/>
          <w:sz w:val="22"/>
          <w:szCs w:val="22"/>
          <w:lang w:val="en-GB" w:bidi="ar-SA"/>
        </w:rPr>
      </w:pPr>
      <w:r w:rsidRPr="00DE6ABC">
        <w:rPr>
          <w:rFonts w:ascii="Calibri" w:eastAsia="MS Mincho" w:hAnsi="Calibri" w:cs="Times New Roman"/>
          <w:sz w:val="22"/>
          <w:szCs w:val="22"/>
          <w:lang w:val="en-GB" w:bidi="ar-SA"/>
        </w:rPr>
        <w:t xml:space="preserve">The selection of fast-growing broilers has been accompanied by a range of non-communicable diseases (NCDs), such as ascites syndrome and lameness, which have also led to health problems in intensively raised broilers at the smallholder level (Gupta 2011). Concurrently, the composition of broiler carcasses has changed with changing ration formulation. This </w:t>
      </w:r>
      <w:r w:rsidR="00167BF3">
        <w:rPr>
          <w:rFonts w:ascii="Calibri" w:eastAsia="MS Mincho" w:hAnsi="Calibri" w:cs="Times New Roman"/>
          <w:sz w:val="22"/>
          <w:szCs w:val="22"/>
          <w:lang w:val="en-GB" w:bidi="ar-SA"/>
        </w:rPr>
        <w:t>affects</w:t>
      </w:r>
      <w:r w:rsidRPr="00DE6ABC">
        <w:rPr>
          <w:rFonts w:ascii="Calibri" w:eastAsia="MS Mincho" w:hAnsi="Calibri" w:cs="Times New Roman"/>
          <w:sz w:val="22"/>
          <w:szCs w:val="22"/>
          <w:lang w:val="en-GB" w:bidi="ar-SA"/>
        </w:rPr>
        <w:t xml:space="preserve"> the quality of food entering the human food system at a time when obesity and other NCDs have become major public health issues in both developing and developed countries (Doku and Neupane 2015). Wang et al. (2009) report</w:t>
      </w:r>
      <w:r w:rsidR="00F01CAF">
        <w:rPr>
          <w:rFonts w:ascii="Calibri" w:eastAsia="MS Mincho" w:hAnsi="Calibri" w:cs="Times New Roman"/>
          <w:sz w:val="22"/>
          <w:szCs w:val="22"/>
          <w:lang w:val="en-GB" w:bidi="ar-SA"/>
        </w:rPr>
        <w:t>ed</w:t>
      </w:r>
      <w:r w:rsidRPr="00DE6ABC">
        <w:rPr>
          <w:rFonts w:ascii="Calibri" w:eastAsia="MS Mincho" w:hAnsi="Calibri" w:cs="Times New Roman"/>
          <w:sz w:val="22"/>
          <w:szCs w:val="22"/>
          <w:lang w:val="en-GB" w:bidi="ar-SA"/>
        </w:rPr>
        <w:t xml:space="preserve"> a substantial increase in the amount of non-essential fats and a loss of essential fats derived from contemporary animal husbandry, including poultry meat, with modern organic and broiler chickens sold for human consumption providing </w:t>
      </w:r>
      <w:r w:rsidRPr="001F623B">
        <w:rPr>
          <w:rFonts w:ascii="Calibri" w:eastAsia="MS Mincho" w:hAnsi="Calibri" w:cs="Times New Roman"/>
          <w:sz w:val="22"/>
          <w:szCs w:val="22"/>
          <w:lang w:val="en-GB" w:bidi="ar-SA"/>
        </w:rPr>
        <w:t>more energy from fat than protein.</w:t>
      </w:r>
    </w:p>
    <w:p w14:paraId="49EA6A8F" w14:textId="77777777" w:rsidR="00903FEB" w:rsidRPr="001F623B" w:rsidRDefault="00903FEB" w:rsidP="00903FEB">
      <w:pPr>
        <w:rPr>
          <w:rFonts w:ascii="Calibri" w:hAnsi="Calibri" w:cs="Calibri"/>
          <w:sz w:val="22"/>
          <w:szCs w:val="22"/>
        </w:rPr>
      </w:pPr>
    </w:p>
    <w:p w14:paraId="4106B94E" w14:textId="77777777" w:rsidR="00F20CC1" w:rsidRPr="001F623B" w:rsidRDefault="00F20CC1" w:rsidP="00F20CC1">
      <w:pPr>
        <w:rPr>
          <w:rFonts w:ascii="Calibri" w:hAnsi="Calibri" w:cs="Calibri"/>
          <w:b/>
          <w:sz w:val="22"/>
          <w:szCs w:val="22"/>
        </w:rPr>
      </w:pPr>
      <w:r w:rsidRPr="001F623B">
        <w:rPr>
          <w:rFonts w:ascii="Calibri" w:hAnsi="Calibri" w:cs="Calibri"/>
          <w:b/>
          <w:sz w:val="22"/>
          <w:szCs w:val="22"/>
        </w:rPr>
        <w:t>Planetary Health</w:t>
      </w:r>
    </w:p>
    <w:p w14:paraId="39FFB882" w14:textId="4AEE47E6" w:rsidR="00F20CC1" w:rsidRDefault="00F20CC1" w:rsidP="00F20CC1">
      <w:pPr>
        <w:rPr>
          <w:rFonts w:ascii="Calibri" w:hAnsi="Calibri" w:cs="Calibri"/>
          <w:sz w:val="22"/>
          <w:szCs w:val="22"/>
        </w:rPr>
      </w:pPr>
      <w:r w:rsidRPr="001F623B">
        <w:rPr>
          <w:rFonts w:ascii="Calibri" w:hAnsi="Calibri" w:cs="Calibri"/>
          <w:sz w:val="22"/>
          <w:szCs w:val="22"/>
        </w:rPr>
        <w:t>A Planetary Health approach</w:t>
      </w:r>
      <w:r w:rsidR="00167BF3" w:rsidRPr="001F623B">
        <w:rPr>
          <w:rFonts w:ascii="Calibri" w:hAnsi="Calibri" w:cs="Calibri"/>
          <w:sz w:val="22"/>
          <w:szCs w:val="22"/>
        </w:rPr>
        <w:t xml:space="preserve">, </w:t>
      </w:r>
      <w:r w:rsidR="002B6F91" w:rsidRPr="001F623B">
        <w:rPr>
          <w:rFonts w:ascii="Calibri" w:hAnsi="Calibri" w:cs="Calibri"/>
          <w:sz w:val="22"/>
          <w:szCs w:val="22"/>
        </w:rPr>
        <w:t>recogni</w:t>
      </w:r>
      <w:r w:rsidR="001F623B" w:rsidRPr="001F623B">
        <w:rPr>
          <w:rFonts w:ascii="Calibri" w:hAnsi="Calibri" w:cs="Calibri"/>
          <w:sz w:val="22"/>
          <w:szCs w:val="22"/>
        </w:rPr>
        <w:t>z</w:t>
      </w:r>
      <w:r w:rsidR="002B6F91" w:rsidRPr="001F623B">
        <w:rPr>
          <w:rFonts w:ascii="Calibri" w:hAnsi="Calibri" w:cs="Calibri"/>
          <w:sz w:val="22"/>
          <w:szCs w:val="22"/>
        </w:rPr>
        <w:t xml:space="preserve">ing </w:t>
      </w:r>
      <w:r w:rsidRPr="001F623B">
        <w:rPr>
          <w:rFonts w:ascii="Calibri" w:hAnsi="Calibri" w:cs="Calibri"/>
          <w:sz w:val="22"/>
          <w:szCs w:val="22"/>
        </w:rPr>
        <w:t xml:space="preserve">that the health of human </w:t>
      </w:r>
      <w:r w:rsidR="002B6F91" w:rsidRPr="001F623B">
        <w:rPr>
          <w:rFonts w:ascii="Calibri" w:hAnsi="Calibri" w:cs="Calibri"/>
          <w:sz w:val="22"/>
          <w:szCs w:val="22"/>
        </w:rPr>
        <w:t>civili</w:t>
      </w:r>
      <w:r w:rsidR="001F623B" w:rsidRPr="001F623B">
        <w:rPr>
          <w:rFonts w:ascii="Calibri" w:hAnsi="Calibri" w:cs="Calibri"/>
          <w:sz w:val="22"/>
          <w:szCs w:val="22"/>
        </w:rPr>
        <w:t>z</w:t>
      </w:r>
      <w:r w:rsidR="002B6F91" w:rsidRPr="001F623B">
        <w:rPr>
          <w:rFonts w:ascii="Calibri" w:hAnsi="Calibri" w:cs="Calibri"/>
          <w:sz w:val="22"/>
          <w:szCs w:val="22"/>
        </w:rPr>
        <w:t xml:space="preserve">ation </w:t>
      </w:r>
      <w:r w:rsidRPr="001F623B">
        <w:rPr>
          <w:rFonts w:ascii="Calibri" w:hAnsi="Calibri" w:cs="Calibri"/>
          <w:sz w:val="22"/>
          <w:szCs w:val="22"/>
        </w:rPr>
        <w:t>depends on the health of natural systems</w:t>
      </w:r>
      <w:r w:rsidR="00167BF3" w:rsidRPr="001F623B">
        <w:rPr>
          <w:rFonts w:ascii="Calibri" w:hAnsi="Calibri" w:cs="Calibri"/>
          <w:sz w:val="22"/>
          <w:szCs w:val="22"/>
        </w:rPr>
        <w:t xml:space="preserve"> (</w:t>
      </w:r>
      <w:r w:rsidR="00511562" w:rsidRPr="001F623B">
        <w:rPr>
          <w:rFonts w:ascii="Calibri" w:hAnsi="Calibri" w:cs="Calibri"/>
          <w:sz w:val="22"/>
          <w:szCs w:val="22"/>
        </w:rPr>
        <w:t>Whitmee et al. 2015</w:t>
      </w:r>
      <w:r w:rsidRPr="001F623B">
        <w:rPr>
          <w:rFonts w:ascii="Calibri" w:hAnsi="Calibri" w:cs="Calibri"/>
          <w:sz w:val="22"/>
          <w:szCs w:val="22"/>
        </w:rPr>
        <w:t xml:space="preserve">) was used in the framing of this </w:t>
      </w:r>
      <w:r w:rsidR="00167BF3" w:rsidRPr="001F623B">
        <w:rPr>
          <w:rFonts w:ascii="Calibri" w:hAnsi="Calibri" w:cs="Calibri"/>
          <w:sz w:val="22"/>
          <w:szCs w:val="22"/>
        </w:rPr>
        <w:t xml:space="preserve">discussion </w:t>
      </w:r>
      <w:r w:rsidRPr="001F623B">
        <w:rPr>
          <w:rFonts w:ascii="Calibri" w:hAnsi="Calibri" w:cs="Calibri"/>
          <w:sz w:val="22"/>
          <w:szCs w:val="22"/>
        </w:rPr>
        <w:t>paper. The production of sustainable, nutritious and safe ASF delivered</w:t>
      </w:r>
      <w:r w:rsidRPr="008444A6">
        <w:rPr>
          <w:rFonts w:ascii="Calibri" w:hAnsi="Calibri" w:cs="Calibri"/>
          <w:sz w:val="22"/>
          <w:szCs w:val="22"/>
        </w:rPr>
        <w:t xml:space="preserve"> with minimal waste has the potential to promote human, animal and environmental health. As governments worldwide grapple with unsustainable health budgets, nutrition-sensitive ASF value chains, bolstered by more effective policy frameworks, can help to prevent malnutrition and ensure that the ASF produced delivers maximum benefits. Resourceful and strategic production and </w:t>
      </w:r>
      <w:r w:rsidR="002B6F91" w:rsidRPr="008444A6">
        <w:rPr>
          <w:rFonts w:ascii="Calibri" w:hAnsi="Calibri" w:cs="Calibri"/>
          <w:sz w:val="22"/>
          <w:szCs w:val="22"/>
        </w:rPr>
        <w:t>utili</w:t>
      </w:r>
      <w:r w:rsidR="002B6F91">
        <w:rPr>
          <w:rFonts w:ascii="Calibri" w:hAnsi="Calibri" w:cs="Calibri"/>
          <w:sz w:val="22"/>
          <w:szCs w:val="22"/>
        </w:rPr>
        <w:t>z</w:t>
      </w:r>
      <w:r w:rsidR="002B6F91" w:rsidRPr="008444A6">
        <w:rPr>
          <w:rFonts w:ascii="Calibri" w:hAnsi="Calibri" w:cs="Calibri"/>
          <w:sz w:val="22"/>
          <w:szCs w:val="22"/>
        </w:rPr>
        <w:t xml:space="preserve">ation </w:t>
      </w:r>
      <w:r w:rsidRPr="008444A6">
        <w:rPr>
          <w:rFonts w:ascii="Calibri" w:hAnsi="Calibri" w:cs="Calibri"/>
          <w:sz w:val="22"/>
          <w:szCs w:val="22"/>
        </w:rPr>
        <w:t xml:space="preserve">of ASF has a crucial role to play in </w:t>
      </w:r>
      <w:r w:rsidR="00D3410B">
        <w:rPr>
          <w:rFonts w:ascii="Calibri" w:hAnsi="Calibri" w:cs="Calibri"/>
          <w:sz w:val="22"/>
          <w:szCs w:val="22"/>
        </w:rPr>
        <w:t>SDG2</w:t>
      </w:r>
      <w:r w:rsidRPr="008444A6">
        <w:rPr>
          <w:rFonts w:ascii="Calibri" w:hAnsi="Calibri" w:cs="Calibri"/>
          <w:sz w:val="22"/>
          <w:szCs w:val="22"/>
        </w:rPr>
        <w:t>.</w:t>
      </w:r>
    </w:p>
    <w:p w14:paraId="22561E88" w14:textId="77777777" w:rsidR="00F20CC1" w:rsidRDefault="00F20CC1" w:rsidP="00F20CC1">
      <w:pPr>
        <w:rPr>
          <w:rFonts w:ascii="Calibri" w:hAnsi="Calibri" w:cs="Calibri"/>
          <w:sz w:val="22"/>
          <w:szCs w:val="22"/>
        </w:rPr>
      </w:pPr>
    </w:p>
    <w:p w14:paraId="5CDE0FEF" w14:textId="77777777" w:rsidR="00A06C8F" w:rsidRPr="00F20CC1" w:rsidRDefault="00A06C8F" w:rsidP="00A06C8F">
      <w:pPr>
        <w:rPr>
          <w:rFonts w:ascii="Calibri" w:hAnsi="Calibri" w:cs="Calibri"/>
          <w:b/>
          <w:sz w:val="22"/>
          <w:szCs w:val="22"/>
        </w:rPr>
      </w:pPr>
      <w:r w:rsidRPr="00F20CC1">
        <w:rPr>
          <w:rFonts w:ascii="Calibri" w:hAnsi="Calibri" w:cs="Calibri"/>
          <w:b/>
          <w:sz w:val="22"/>
          <w:szCs w:val="22"/>
        </w:rPr>
        <w:t>Conclusions and the way forward</w:t>
      </w:r>
    </w:p>
    <w:p w14:paraId="4E163D6F" w14:textId="70687E9D" w:rsidR="00903FEB" w:rsidRPr="00903FEB" w:rsidRDefault="00903FEB" w:rsidP="00903FEB">
      <w:pPr>
        <w:rPr>
          <w:rFonts w:ascii="Calibri" w:hAnsi="Calibri" w:cs="Calibri"/>
          <w:sz w:val="22"/>
          <w:szCs w:val="22"/>
        </w:rPr>
      </w:pPr>
      <w:r w:rsidRPr="00903FEB">
        <w:rPr>
          <w:rFonts w:ascii="Calibri" w:hAnsi="Calibri" w:cs="Calibri"/>
          <w:sz w:val="22"/>
          <w:szCs w:val="22"/>
        </w:rPr>
        <w:t xml:space="preserve">As we move forward, it is essential that the agriculture, health, education and infrastructure sectors work together closely to ensure that food is produced and </w:t>
      </w:r>
      <w:r w:rsidR="002B6F91" w:rsidRPr="00903FEB">
        <w:rPr>
          <w:rFonts w:ascii="Calibri" w:hAnsi="Calibri" w:cs="Calibri"/>
          <w:sz w:val="22"/>
          <w:szCs w:val="22"/>
        </w:rPr>
        <w:t>u</w:t>
      </w:r>
      <w:r w:rsidR="00167BF3">
        <w:rPr>
          <w:rFonts w:ascii="Calibri" w:hAnsi="Calibri" w:cs="Calibri"/>
          <w:sz w:val="22"/>
          <w:szCs w:val="22"/>
        </w:rPr>
        <w:t>sed</w:t>
      </w:r>
      <w:r w:rsidR="002B6F91" w:rsidRPr="00903FEB">
        <w:rPr>
          <w:rFonts w:ascii="Calibri" w:hAnsi="Calibri" w:cs="Calibri"/>
          <w:sz w:val="22"/>
          <w:szCs w:val="22"/>
        </w:rPr>
        <w:t xml:space="preserve"> </w:t>
      </w:r>
      <w:r w:rsidRPr="00903FEB">
        <w:rPr>
          <w:rFonts w:ascii="Calibri" w:hAnsi="Calibri" w:cs="Calibri"/>
          <w:sz w:val="22"/>
          <w:szCs w:val="22"/>
        </w:rPr>
        <w:t xml:space="preserve">efficiently, effectively and safely. A heightened awareness of the importance of the ecological systems that underpin food and nutrition security is vital. </w:t>
      </w:r>
      <w:r w:rsidR="00F20CC1" w:rsidRPr="00F20CC1">
        <w:rPr>
          <w:rFonts w:ascii="Calibri" w:hAnsi="Calibri" w:cs="Calibri"/>
          <w:sz w:val="22"/>
          <w:szCs w:val="22"/>
        </w:rPr>
        <w:t>A planetary health approach to the production of sustainable, nutritious and safe food delivered with minimal waste will promote improvements to human, animal and environm</w:t>
      </w:r>
      <w:r w:rsidR="00F20CC1">
        <w:rPr>
          <w:rFonts w:ascii="Calibri" w:hAnsi="Calibri" w:cs="Calibri"/>
          <w:sz w:val="22"/>
          <w:szCs w:val="22"/>
        </w:rPr>
        <w:t>ental health</w:t>
      </w:r>
      <w:r w:rsidR="00F20CC1" w:rsidRPr="00F20CC1">
        <w:rPr>
          <w:rFonts w:ascii="Calibri" w:hAnsi="Calibri" w:cs="Calibri"/>
          <w:sz w:val="22"/>
          <w:szCs w:val="22"/>
        </w:rPr>
        <w:t xml:space="preserve"> </w:t>
      </w:r>
      <w:r w:rsidR="00F20CC1">
        <w:rPr>
          <w:rFonts w:ascii="Calibri" w:hAnsi="Calibri" w:cs="Calibri"/>
          <w:sz w:val="22"/>
          <w:szCs w:val="22"/>
        </w:rPr>
        <w:t>(Alders et al. 2016).</w:t>
      </w:r>
      <w:r w:rsidRPr="00903FEB">
        <w:rPr>
          <w:rFonts w:ascii="Calibri" w:hAnsi="Calibri" w:cs="Calibri"/>
          <w:sz w:val="22"/>
          <w:szCs w:val="22"/>
        </w:rPr>
        <w:t xml:space="preserve">  </w:t>
      </w:r>
    </w:p>
    <w:p w14:paraId="463F9D98" w14:textId="77777777" w:rsidR="00903FEB" w:rsidRDefault="00903FEB" w:rsidP="00151460">
      <w:pPr>
        <w:rPr>
          <w:rFonts w:ascii="Calibri" w:hAnsi="Calibri" w:cs="Calibri"/>
          <w:sz w:val="22"/>
          <w:szCs w:val="22"/>
        </w:rPr>
      </w:pPr>
    </w:p>
    <w:p w14:paraId="118DBAFF" w14:textId="77777777" w:rsidR="00903FEB" w:rsidRPr="00903FEB" w:rsidRDefault="00903FEB" w:rsidP="00903FEB">
      <w:pPr>
        <w:rPr>
          <w:rFonts w:ascii="Calibri" w:hAnsi="Calibri" w:cs="Calibri"/>
          <w:b/>
          <w:sz w:val="22"/>
          <w:szCs w:val="22"/>
        </w:rPr>
      </w:pPr>
      <w:r w:rsidRPr="00903FEB">
        <w:rPr>
          <w:rFonts w:ascii="Calibri" w:hAnsi="Calibri" w:cs="Calibri"/>
          <w:b/>
          <w:sz w:val="22"/>
          <w:szCs w:val="22"/>
        </w:rPr>
        <w:t>Acknowledgements</w:t>
      </w:r>
    </w:p>
    <w:p w14:paraId="054B75E6" w14:textId="78DF9914" w:rsidR="00903FEB" w:rsidRDefault="001F623B" w:rsidP="00903FEB">
      <w:pPr>
        <w:rPr>
          <w:rFonts w:ascii="Calibri" w:hAnsi="Calibri" w:cs="Calibri"/>
          <w:sz w:val="22"/>
          <w:szCs w:val="22"/>
        </w:rPr>
      </w:pPr>
      <w:r>
        <w:rPr>
          <w:rFonts w:ascii="Calibri" w:hAnsi="Calibri" w:cs="Calibri"/>
          <w:sz w:val="22"/>
          <w:szCs w:val="22"/>
        </w:rPr>
        <w:t>RA</w:t>
      </w:r>
      <w:r w:rsidR="00903FEB" w:rsidRPr="00903FEB">
        <w:rPr>
          <w:rFonts w:ascii="Calibri" w:hAnsi="Calibri" w:cs="Calibri"/>
          <w:sz w:val="22"/>
          <w:szCs w:val="22"/>
        </w:rPr>
        <w:t xml:space="preserve"> acknowledges funding provided by the Australian Government (especially the Australian Centre for International Agricultural Research) and the Food and Agriculture Organization of the United Nations in support of</w:t>
      </w:r>
      <w:r w:rsidR="00903FEB">
        <w:rPr>
          <w:rFonts w:ascii="Calibri" w:hAnsi="Calibri" w:cs="Calibri"/>
          <w:sz w:val="22"/>
          <w:szCs w:val="22"/>
        </w:rPr>
        <w:t xml:space="preserve"> interdisciplinary</w:t>
      </w:r>
      <w:r w:rsidR="00903FEB" w:rsidRPr="00903FEB">
        <w:rPr>
          <w:rFonts w:ascii="Calibri" w:hAnsi="Calibri" w:cs="Calibri"/>
          <w:sz w:val="22"/>
          <w:szCs w:val="22"/>
        </w:rPr>
        <w:t xml:space="preserve"> research on disease prevention, improved food</w:t>
      </w:r>
      <w:r w:rsidR="00903FEB">
        <w:rPr>
          <w:rFonts w:ascii="Calibri" w:hAnsi="Calibri" w:cs="Calibri"/>
          <w:sz w:val="22"/>
          <w:szCs w:val="22"/>
        </w:rPr>
        <w:t xml:space="preserve"> and nutrition</w:t>
      </w:r>
      <w:r w:rsidR="00903FEB" w:rsidRPr="00903FEB">
        <w:rPr>
          <w:rFonts w:ascii="Calibri" w:hAnsi="Calibri" w:cs="Calibri"/>
          <w:sz w:val="22"/>
          <w:szCs w:val="22"/>
        </w:rPr>
        <w:t xml:space="preserve"> security.</w:t>
      </w:r>
      <w:r>
        <w:rPr>
          <w:rFonts w:ascii="Calibri" w:hAnsi="Calibri" w:cs="Calibri"/>
          <w:sz w:val="22"/>
          <w:szCs w:val="22"/>
        </w:rPr>
        <w:t xml:space="preserve"> MM acknowledges a conference travel scholarship provided by the Marie Bashir Institute within the University of Sydney.</w:t>
      </w:r>
    </w:p>
    <w:p w14:paraId="3AF6A0F1" w14:textId="77777777" w:rsidR="00002D15" w:rsidRDefault="00002D15" w:rsidP="00151460">
      <w:pPr>
        <w:rPr>
          <w:rFonts w:ascii="Calibri" w:hAnsi="Calibri" w:cs="Calibri"/>
          <w:sz w:val="22"/>
          <w:szCs w:val="22"/>
        </w:rPr>
      </w:pPr>
    </w:p>
    <w:p w14:paraId="228913B8" w14:textId="77777777" w:rsidR="00002D15" w:rsidRPr="00002D15" w:rsidRDefault="00002D15" w:rsidP="00002D15">
      <w:pPr>
        <w:rPr>
          <w:rFonts w:ascii="Calibri" w:hAnsi="Calibri" w:cs="Calibri"/>
          <w:b/>
          <w:sz w:val="22"/>
          <w:szCs w:val="22"/>
        </w:rPr>
      </w:pPr>
      <w:r w:rsidRPr="00002D15">
        <w:rPr>
          <w:rFonts w:ascii="Calibri" w:hAnsi="Calibri" w:cs="Calibri"/>
          <w:b/>
          <w:sz w:val="22"/>
          <w:szCs w:val="22"/>
        </w:rPr>
        <w:t>References</w:t>
      </w:r>
    </w:p>
    <w:p w14:paraId="7FC64F55" w14:textId="2831210A" w:rsidR="001D4E4A" w:rsidRDefault="001D4E4A" w:rsidP="00002D15">
      <w:pPr>
        <w:ind w:left="720" w:hanging="720"/>
        <w:rPr>
          <w:rFonts w:ascii="Calibri" w:hAnsi="Calibri" w:cs="Calibri"/>
          <w:sz w:val="22"/>
          <w:szCs w:val="22"/>
        </w:rPr>
      </w:pPr>
      <w:r w:rsidRPr="001D4E4A">
        <w:rPr>
          <w:rFonts w:ascii="Calibri" w:hAnsi="Calibri" w:cs="Calibri"/>
          <w:sz w:val="22"/>
          <w:szCs w:val="22"/>
        </w:rPr>
        <w:lastRenderedPageBreak/>
        <w:t>ABS. 2014. Australian Health Survey: Nutrition First Results – Foods and Nutrients, 2011–12. Australian Bureau of Statistics, Canberra.</w:t>
      </w:r>
      <w:r w:rsidR="00890530">
        <w:rPr>
          <w:rFonts w:ascii="Calibri" w:hAnsi="Calibri" w:cs="Calibri"/>
          <w:sz w:val="22"/>
          <w:szCs w:val="22"/>
        </w:rPr>
        <w:t xml:space="preserve"> Available: </w:t>
      </w:r>
      <w:r w:rsidR="00890530" w:rsidRPr="00890530">
        <w:rPr>
          <w:rFonts w:ascii="Calibri" w:hAnsi="Calibri" w:cs="Calibri"/>
          <w:sz w:val="22"/>
          <w:szCs w:val="22"/>
        </w:rPr>
        <w:t>http://www.abs.gov.au/AUSSTATS/abs@.nsf/Lookup/4364.0.55.007Main+Features12011-12</w:t>
      </w:r>
    </w:p>
    <w:p w14:paraId="75DE79BE" w14:textId="1E64808E" w:rsidR="00002D15" w:rsidRDefault="00002D15" w:rsidP="00002D15">
      <w:pPr>
        <w:ind w:left="720" w:hanging="720"/>
        <w:rPr>
          <w:rFonts w:ascii="Calibri" w:hAnsi="Calibri" w:cs="Calibri"/>
          <w:sz w:val="22"/>
          <w:szCs w:val="22"/>
        </w:rPr>
      </w:pPr>
      <w:r w:rsidRPr="00002D15">
        <w:rPr>
          <w:rFonts w:ascii="Calibri" w:hAnsi="Calibri" w:cs="Calibri"/>
          <w:sz w:val="22"/>
          <w:szCs w:val="22"/>
        </w:rPr>
        <w:t xml:space="preserve">Alders, R. 2017. Achieving ethical and ecologically sustainable human diets through the Planetary Health Paradigm. </w:t>
      </w:r>
      <w:r w:rsidRPr="001F623B">
        <w:rPr>
          <w:rFonts w:ascii="Calibri" w:hAnsi="Calibri" w:cs="Calibri"/>
          <w:i/>
          <w:sz w:val="22"/>
          <w:szCs w:val="22"/>
        </w:rPr>
        <w:t>Journal of Nutrition and I</w:t>
      </w:r>
      <w:r w:rsidR="00903FEB" w:rsidRPr="001F623B">
        <w:rPr>
          <w:rFonts w:ascii="Calibri" w:hAnsi="Calibri" w:cs="Calibri"/>
          <w:i/>
          <w:sz w:val="22"/>
          <w:szCs w:val="22"/>
        </w:rPr>
        <w:t>ntermediary Metabolism</w:t>
      </w:r>
      <w:r w:rsidR="00903FEB">
        <w:rPr>
          <w:rFonts w:ascii="Calibri" w:hAnsi="Calibri" w:cs="Calibri"/>
          <w:sz w:val="22"/>
          <w:szCs w:val="22"/>
        </w:rPr>
        <w:t xml:space="preserve"> </w:t>
      </w:r>
      <w:r w:rsidR="00903FEB" w:rsidRPr="007227E6">
        <w:rPr>
          <w:rFonts w:ascii="Calibri" w:hAnsi="Calibri" w:cs="Calibri"/>
          <w:b/>
          <w:sz w:val="22"/>
          <w:szCs w:val="22"/>
        </w:rPr>
        <w:t>8</w:t>
      </w:r>
      <w:r w:rsidR="00903FEB">
        <w:rPr>
          <w:rFonts w:ascii="Calibri" w:hAnsi="Calibri" w:cs="Calibri"/>
          <w:sz w:val="22"/>
          <w:szCs w:val="22"/>
        </w:rPr>
        <w:t>:</w:t>
      </w:r>
      <w:r w:rsidR="00890530">
        <w:rPr>
          <w:rFonts w:ascii="Calibri" w:hAnsi="Calibri" w:cs="Calibri"/>
          <w:sz w:val="22"/>
          <w:szCs w:val="22"/>
        </w:rPr>
        <w:t xml:space="preserve"> </w:t>
      </w:r>
      <w:r w:rsidR="00903FEB">
        <w:rPr>
          <w:rFonts w:ascii="Calibri" w:hAnsi="Calibri" w:cs="Calibri"/>
          <w:sz w:val="22"/>
          <w:szCs w:val="22"/>
        </w:rPr>
        <w:t>60</w:t>
      </w:r>
      <w:r w:rsidR="00890530">
        <w:rPr>
          <w:rFonts w:cs="Arial"/>
          <w:szCs w:val="20"/>
        </w:rPr>
        <w:t>–</w:t>
      </w:r>
      <w:r w:rsidR="00903FEB">
        <w:rPr>
          <w:rFonts w:ascii="Calibri" w:hAnsi="Calibri" w:cs="Calibri"/>
          <w:sz w:val="22"/>
          <w:szCs w:val="22"/>
        </w:rPr>
        <w:t>61.</w:t>
      </w:r>
    </w:p>
    <w:p w14:paraId="72F1769D" w14:textId="20BFDF01" w:rsidR="00903FEB" w:rsidRDefault="00903FEB" w:rsidP="00002D15">
      <w:pPr>
        <w:ind w:left="720" w:hanging="720"/>
        <w:rPr>
          <w:rFonts w:ascii="Calibri" w:hAnsi="Calibri" w:cs="Calibri"/>
          <w:sz w:val="22"/>
          <w:szCs w:val="22"/>
        </w:rPr>
      </w:pPr>
      <w:r w:rsidRPr="00903FEB">
        <w:rPr>
          <w:rFonts w:ascii="Calibri" w:hAnsi="Calibri" w:cs="Calibri"/>
          <w:sz w:val="22"/>
          <w:szCs w:val="22"/>
        </w:rPr>
        <w:t>Alders, R.G. 2016. Food security, emerging infectious disease and our increasingly small planet.  Proceedings of the Australian Veterinary Association Annual Conference, Adelaide, Australia, 22</w:t>
      </w:r>
      <w:r w:rsidR="00CA411A">
        <w:rPr>
          <w:rFonts w:cs="Arial"/>
          <w:szCs w:val="20"/>
        </w:rPr>
        <w:t>–</w:t>
      </w:r>
      <w:r w:rsidRPr="00903FEB">
        <w:rPr>
          <w:rFonts w:ascii="Calibri" w:hAnsi="Calibri" w:cs="Calibri"/>
          <w:sz w:val="22"/>
          <w:szCs w:val="22"/>
        </w:rPr>
        <w:t>2</w:t>
      </w:r>
      <w:r>
        <w:rPr>
          <w:rFonts w:ascii="Calibri" w:hAnsi="Calibri" w:cs="Calibri"/>
          <w:sz w:val="22"/>
          <w:szCs w:val="22"/>
        </w:rPr>
        <w:t>7 May 2016, Volume 27, pp.</w:t>
      </w:r>
      <w:r w:rsidR="00CA411A">
        <w:rPr>
          <w:rFonts w:ascii="Calibri" w:hAnsi="Calibri" w:cs="Calibri"/>
          <w:sz w:val="22"/>
          <w:szCs w:val="22"/>
        </w:rPr>
        <w:t xml:space="preserve"> </w:t>
      </w:r>
      <w:r>
        <w:rPr>
          <w:rFonts w:ascii="Calibri" w:hAnsi="Calibri" w:cs="Calibri"/>
          <w:sz w:val="22"/>
          <w:szCs w:val="22"/>
        </w:rPr>
        <w:t>24</w:t>
      </w:r>
      <w:r w:rsidR="00CA411A">
        <w:rPr>
          <w:rFonts w:cs="Arial"/>
          <w:szCs w:val="20"/>
        </w:rPr>
        <w:t>–</w:t>
      </w:r>
      <w:r>
        <w:rPr>
          <w:rFonts w:ascii="Calibri" w:hAnsi="Calibri" w:cs="Calibri"/>
          <w:sz w:val="22"/>
          <w:szCs w:val="22"/>
        </w:rPr>
        <w:t>27.</w:t>
      </w:r>
    </w:p>
    <w:p w14:paraId="34606A55" w14:textId="578D992B" w:rsidR="00511562" w:rsidRDefault="00511562" w:rsidP="00002D15">
      <w:pPr>
        <w:ind w:left="720" w:hanging="720"/>
        <w:rPr>
          <w:rFonts w:ascii="Calibri" w:hAnsi="Calibri" w:cs="Calibri"/>
          <w:sz w:val="22"/>
          <w:szCs w:val="22"/>
        </w:rPr>
      </w:pPr>
      <w:r w:rsidRPr="00511562">
        <w:rPr>
          <w:rFonts w:ascii="Calibri" w:hAnsi="Calibri" w:cs="Calibri"/>
          <w:sz w:val="22"/>
          <w:szCs w:val="22"/>
        </w:rPr>
        <w:t xml:space="preserve">Alders, R., Awuni, J., Bagnol, B., Farrell, P., and de Haan, N. </w:t>
      </w:r>
      <w:r>
        <w:rPr>
          <w:rFonts w:ascii="Calibri" w:hAnsi="Calibri" w:cs="Calibri"/>
          <w:sz w:val="22"/>
          <w:szCs w:val="22"/>
        </w:rPr>
        <w:t xml:space="preserve">2013. </w:t>
      </w:r>
      <w:r w:rsidRPr="00511562">
        <w:rPr>
          <w:rFonts w:ascii="Calibri" w:hAnsi="Calibri" w:cs="Calibri"/>
          <w:sz w:val="22"/>
          <w:szCs w:val="22"/>
        </w:rPr>
        <w:t xml:space="preserve">Impact of </w:t>
      </w:r>
      <w:r w:rsidR="008D1FC5">
        <w:rPr>
          <w:rFonts w:ascii="Calibri" w:hAnsi="Calibri" w:cs="Calibri"/>
          <w:sz w:val="22"/>
          <w:szCs w:val="22"/>
        </w:rPr>
        <w:t>a</w:t>
      </w:r>
      <w:r w:rsidRPr="00511562">
        <w:rPr>
          <w:rFonts w:ascii="Calibri" w:hAnsi="Calibri" w:cs="Calibri"/>
          <w:sz w:val="22"/>
          <w:szCs w:val="22"/>
        </w:rPr>
        <w:t xml:space="preserve">vian </w:t>
      </w:r>
      <w:r w:rsidR="008D1FC5">
        <w:rPr>
          <w:rFonts w:ascii="Calibri" w:hAnsi="Calibri" w:cs="Calibri"/>
          <w:sz w:val="22"/>
          <w:szCs w:val="22"/>
        </w:rPr>
        <w:t>i</w:t>
      </w:r>
      <w:r w:rsidRPr="00511562">
        <w:rPr>
          <w:rFonts w:ascii="Calibri" w:hAnsi="Calibri" w:cs="Calibri"/>
          <w:sz w:val="22"/>
          <w:szCs w:val="22"/>
        </w:rPr>
        <w:t xml:space="preserve">nfluenza on village poultry production </w:t>
      </w:r>
      <w:r>
        <w:rPr>
          <w:rFonts w:ascii="Calibri" w:hAnsi="Calibri" w:cs="Calibri"/>
          <w:sz w:val="22"/>
          <w:szCs w:val="22"/>
        </w:rPr>
        <w:t xml:space="preserve">globally. </w:t>
      </w:r>
      <w:r w:rsidRPr="001F623B">
        <w:rPr>
          <w:rFonts w:ascii="Calibri" w:hAnsi="Calibri" w:cs="Calibri"/>
          <w:i/>
          <w:sz w:val="22"/>
          <w:szCs w:val="22"/>
        </w:rPr>
        <w:t xml:space="preserve">EcoHealth </w:t>
      </w:r>
      <w:r w:rsidRPr="00511562">
        <w:rPr>
          <w:rFonts w:ascii="Calibri" w:hAnsi="Calibri" w:cs="Calibri"/>
          <w:b/>
          <w:sz w:val="22"/>
          <w:szCs w:val="22"/>
        </w:rPr>
        <w:t>11</w:t>
      </w:r>
      <w:r w:rsidRPr="00511562">
        <w:rPr>
          <w:rFonts w:ascii="Calibri" w:hAnsi="Calibri" w:cs="Calibri"/>
          <w:sz w:val="22"/>
          <w:szCs w:val="22"/>
        </w:rPr>
        <w:t>(1):</w:t>
      </w:r>
      <w:r w:rsidR="00CA411A">
        <w:rPr>
          <w:rFonts w:ascii="Calibri" w:hAnsi="Calibri" w:cs="Calibri"/>
          <w:sz w:val="22"/>
          <w:szCs w:val="22"/>
        </w:rPr>
        <w:t xml:space="preserve"> </w:t>
      </w:r>
      <w:r w:rsidRPr="00511562">
        <w:rPr>
          <w:rFonts w:ascii="Calibri" w:hAnsi="Calibri" w:cs="Calibri"/>
          <w:sz w:val="22"/>
          <w:szCs w:val="22"/>
        </w:rPr>
        <w:t>63</w:t>
      </w:r>
      <w:r w:rsidR="00CA411A">
        <w:rPr>
          <w:rFonts w:cs="Arial"/>
          <w:szCs w:val="20"/>
        </w:rPr>
        <w:t>–</w:t>
      </w:r>
      <w:r w:rsidRPr="00511562">
        <w:rPr>
          <w:rFonts w:ascii="Calibri" w:hAnsi="Calibri" w:cs="Calibri"/>
          <w:sz w:val="22"/>
          <w:szCs w:val="22"/>
        </w:rPr>
        <w:t>72</w:t>
      </w:r>
    </w:p>
    <w:p w14:paraId="71DC1E1C" w14:textId="776F28A6" w:rsidR="00002D15" w:rsidRDefault="00002D15" w:rsidP="00002D15">
      <w:pPr>
        <w:ind w:left="720" w:hanging="720"/>
        <w:rPr>
          <w:rFonts w:ascii="Calibri" w:hAnsi="Calibri" w:cs="Calibri"/>
          <w:sz w:val="22"/>
          <w:szCs w:val="22"/>
        </w:rPr>
      </w:pPr>
      <w:r w:rsidRPr="00002D15">
        <w:rPr>
          <w:rFonts w:ascii="Calibri" w:hAnsi="Calibri" w:cs="Calibri"/>
          <w:sz w:val="22"/>
          <w:szCs w:val="22"/>
        </w:rPr>
        <w:t>Alders, R., Bagnol, B., Guest, D., Kock, R., Rushton, J. and Stellmach, D. 2017</w:t>
      </w:r>
      <w:r w:rsidR="003B29E2">
        <w:rPr>
          <w:rFonts w:ascii="Calibri" w:hAnsi="Calibri" w:cs="Calibri"/>
          <w:sz w:val="22"/>
          <w:szCs w:val="22"/>
        </w:rPr>
        <w:t>a</w:t>
      </w:r>
      <w:r w:rsidRPr="00002D15">
        <w:rPr>
          <w:rFonts w:ascii="Calibri" w:hAnsi="Calibri" w:cs="Calibri"/>
          <w:sz w:val="22"/>
          <w:szCs w:val="22"/>
        </w:rPr>
        <w:t>. Planetary health and sustainable and ethical human diets. Planetary Health Alliance / GeoHealth Annual Meeti</w:t>
      </w:r>
      <w:r w:rsidR="00903FEB">
        <w:rPr>
          <w:rFonts w:ascii="Calibri" w:hAnsi="Calibri" w:cs="Calibri"/>
          <w:sz w:val="22"/>
          <w:szCs w:val="22"/>
        </w:rPr>
        <w:t>ng, 28</w:t>
      </w:r>
      <w:r w:rsidR="00CA411A">
        <w:rPr>
          <w:rFonts w:cs="Arial"/>
          <w:szCs w:val="20"/>
        </w:rPr>
        <w:t>–</w:t>
      </w:r>
      <w:r w:rsidR="00903FEB">
        <w:rPr>
          <w:rFonts w:ascii="Calibri" w:hAnsi="Calibri" w:cs="Calibri"/>
          <w:sz w:val="22"/>
          <w:szCs w:val="22"/>
        </w:rPr>
        <w:t xml:space="preserve">30 April 2017, Boston. Available: </w:t>
      </w:r>
      <w:hyperlink r:id="rId10" w:history="1">
        <w:r w:rsidR="00903FEB" w:rsidRPr="0035182E">
          <w:rPr>
            <w:rStyle w:val="Hyperlink"/>
            <w:rFonts w:ascii="Calibri" w:hAnsi="Calibri" w:cs="Calibri"/>
            <w:sz w:val="22"/>
            <w:szCs w:val="22"/>
          </w:rPr>
          <w:t>https://planetaryhealthannualmeeting.org/2017-2/nutrition-2017/</w:t>
        </w:r>
      </w:hyperlink>
      <w:r w:rsidR="00903FEB">
        <w:rPr>
          <w:rFonts w:ascii="Calibri" w:hAnsi="Calibri" w:cs="Calibri"/>
          <w:sz w:val="22"/>
          <w:szCs w:val="22"/>
        </w:rPr>
        <w:t xml:space="preserve"> </w:t>
      </w:r>
    </w:p>
    <w:p w14:paraId="247C1335" w14:textId="7E30C8A4" w:rsidR="00002D15" w:rsidRDefault="00002D15" w:rsidP="00002D15">
      <w:pPr>
        <w:ind w:left="720" w:hanging="720"/>
        <w:rPr>
          <w:rFonts w:ascii="Calibri" w:hAnsi="Calibri" w:cs="Calibri"/>
          <w:sz w:val="22"/>
          <w:szCs w:val="22"/>
        </w:rPr>
      </w:pPr>
      <w:r w:rsidRPr="00002D15">
        <w:rPr>
          <w:rFonts w:ascii="Calibri" w:hAnsi="Calibri" w:cs="Calibri"/>
          <w:sz w:val="22"/>
          <w:szCs w:val="22"/>
        </w:rPr>
        <w:t>Alders, R., de Bruyn, J., Wingett, K. and Wong, J. 2017</w:t>
      </w:r>
      <w:r w:rsidR="003B29E2">
        <w:rPr>
          <w:rFonts w:ascii="Calibri" w:hAnsi="Calibri" w:cs="Calibri"/>
          <w:sz w:val="22"/>
          <w:szCs w:val="22"/>
        </w:rPr>
        <w:t>b</w:t>
      </w:r>
      <w:r w:rsidRPr="00002D15">
        <w:rPr>
          <w:rFonts w:ascii="Calibri" w:hAnsi="Calibri" w:cs="Calibri"/>
          <w:sz w:val="22"/>
          <w:szCs w:val="22"/>
        </w:rPr>
        <w:t xml:space="preserve">. One Health, </w:t>
      </w:r>
      <w:r w:rsidR="00CA411A">
        <w:rPr>
          <w:rFonts w:ascii="Calibri" w:hAnsi="Calibri" w:cs="Calibri"/>
          <w:sz w:val="22"/>
          <w:szCs w:val="22"/>
        </w:rPr>
        <w:t>v</w:t>
      </w:r>
      <w:r w:rsidRPr="00002D15">
        <w:rPr>
          <w:rFonts w:ascii="Calibri" w:hAnsi="Calibri" w:cs="Calibri"/>
          <w:sz w:val="22"/>
          <w:szCs w:val="22"/>
        </w:rPr>
        <w:t xml:space="preserve">eterinarians and the nexus between disease and food security. Australian Veterinary Journal </w:t>
      </w:r>
      <w:r w:rsidRPr="007227E6">
        <w:rPr>
          <w:rFonts w:ascii="Calibri" w:hAnsi="Calibri" w:cs="Calibri"/>
          <w:b/>
          <w:sz w:val="22"/>
          <w:szCs w:val="22"/>
        </w:rPr>
        <w:t>95</w:t>
      </w:r>
      <w:r w:rsidRPr="00002D15">
        <w:rPr>
          <w:rFonts w:ascii="Calibri" w:hAnsi="Calibri" w:cs="Calibri"/>
          <w:sz w:val="22"/>
          <w:szCs w:val="22"/>
        </w:rPr>
        <w:t>(12):</w:t>
      </w:r>
      <w:r w:rsidR="00CA411A">
        <w:rPr>
          <w:rFonts w:ascii="Calibri" w:hAnsi="Calibri" w:cs="Calibri"/>
          <w:sz w:val="22"/>
          <w:szCs w:val="22"/>
        </w:rPr>
        <w:t xml:space="preserve"> </w:t>
      </w:r>
      <w:r w:rsidRPr="00002D15">
        <w:rPr>
          <w:rFonts w:ascii="Calibri" w:hAnsi="Calibri" w:cs="Calibri"/>
          <w:sz w:val="22"/>
          <w:szCs w:val="22"/>
        </w:rPr>
        <w:t>451–453</w:t>
      </w:r>
      <w:r w:rsidR="00903FEB">
        <w:rPr>
          <w:rFonts w:ascii="Calibri" w:hAnsi="Calibri" w:cs="Calibri"/>
          <w:sz w:val="22"/>
          <w:szCs w:val="22"/>
        </w:rPr>
        <w:t>,</w:t>
      </w:r>
      <w:r w:rsidRPr="00002D15">
        <w:rPr>
          <w:rFonts w:ascii="Calibri" w:hAnsi="Calibri" w:cs="Calibri"/>
          <w:sz w:val="22"/>
          <w:szCs w:val="22"/>
        </w:rPr>
        <w:t xml:space="preserve"> DOI:10.1111/avj.12645</w:t>
      </w:r>
      <w:r w:rsidR="00903FEB">
        <w:rPr>
          <w:rFonts w:ascii="Calibri" w:hAnsi="Calibri" w:cs="Calibri"/>
          <w:sz w:val="22"/>
          <w:szCs w:val="22"/>
        </w:rPr>
        <w:t>.</w:t>
      </w:r>
      <w:r>
        <w:rPr>
          <w:rFonts w:ascii="Calibri" w:hAnsi="Calibri" w:cs="Calibri"/>
          <w:sz w:val="22"/>
          <w:szCs w:val="22"/>
        </w:rPr>
        <w:t xml:space="preserve"> </w:t>
      </w:r>
    </w:p>
    <w:p w14:paraId="46F9959F" w14:textId="34A15631" w:rsidR="00002D15" w:rsidRDefault="00002D15" w:rsidP="00002D15">
      <w:pPr>
        <w:ind w:left="720" w:hanging="720"/>
        <w:rPr>
          <w:rFonts w:ascii="Calibri" w:hAnsi="Calibri" w:cs="Calibri"/>
          <w:sz w:val="22"/>
          <w:szCs w:val="22"/>
        </w:rPr>
      </w:pPr>
      <w:r w:rsidRPr="00002D15">
        <w:rPr>
          <w:rFonts w:ascii="Calibri" w:hAnsi="Calibri" w:cs="Calibri"/>
          <w:sz w:val="22"/>
          <w:szCs w:val="22"/>
        </w:rPr>
        <w:t>Alders, R., Nunn, M., Bagnol, B., Cribb, J., Kock, R. and Rushton, J. 2016. Chapter 3.1 Approaches to fixing broken food systems. In: Eggersdorfer M., Kraemer K., Cordaro J.B., Fanzo J., Gibney M., Kennedy E., Labrique A. and Steffen J. (eds), Good Nutrition: Perspectives for the 21st Century. Karger, Basel, Switzerland, pp</w:t>
      </w:r>
      <w:r w:rsidR="00CA411A">
        <w:rPr>
          <w:rFonts w:ascii="Calibri" w:hAnsi="Calibri" w:cs="Calibri"/>
          <w:sz w:val="22"/>
          <w:szCs w:val="22"/>
        </w:rPr>
        <w:t>.</w:t>
      </w:r>
      <w:r w:rsidRPr="00002D15">
        <w:rPr>
          <w:rFonts w:ascii="Calibri" w:hAnsi="Calibri" w:cs="Calibri"/>
          <w:sz w:val="22"/>
          <w:szCs w:val="22"/>
        </w:rPr>
        <w:t xml:space="preserve"> 132</w:t>
      </w:r>
      <w:r w:rsidR="00CA411A">
        <w:rPr>
          <w:rFonts w:cs="Arial"/>
          <w:szCs w:val="20"/>
        </w:rPr>
        <w:t>–</w:t>
      </w:r>
      <w:r w:rsidRPr="00002D15">
        <w:rPr>
          <w:rFonts w:ascii="Calibri" w:hAnsi="Calibri" w:cs="Calibri"/>
          <w:sz w:val="22"/>
          <w:szCs w:val="22"/>
        </w:rPr>
        <w:t xml:space="preserve">144. Available online: </w:t>
      </w:r>
      <w:hyperlink r:id="rId11" w:history="1">
        <w:r w:rsidRPr="0035182E">
          <w:rPr>
            <w:rStyle w:val="Hyperlink"/>
            <w:rFonts w:ascii="Calibri" w:hAnsi="Calibri" w:cs="Calibri"/>
            <w:sz w:val="22"/>
            <w:szCs w:val="22"/>
          </w:rPr>
          <w:t>https://www.karger.com/Article/Pdf/452381</w:t>
        </w:r>
      </w:hyperlink>
    </w:p>
    <w:p w14:paraId="6FEDC588" w14:textId="496972A0" w:rsidR="00F24FFD" w:rsidRDefault="00F24FFD" w:rsidP="00F24FFD">
      <w:pPr>
        <w:ind w:left="720" w:hanging="720"/>
        <w:rPr>
          <w:rFonts w:ascii="Calibri" w:hAnsi="Calibri" w:cs="Calibri"/>
          <w:sz w:val="22"/>
          <w:szCs w:val="22"/>
        </w:rPr>
      </w:pPr>
      <w:r w:rsidRPr="00F24FFD">
        <w:rPr>
          <w:rFonts w:ascii="Calibri" w:hAnsi="Calibri" w:cs="Calibri"/>
          <w:sz w:val="22"/>
          <w:szCs w:val="22"/>
        </w:rPr>
        <w:t xml:space="preserve">de Bruyn, J., Wong, J., Bagnol, B., Pengelly, B. and Alders, R. 2015. Family poultry and food and nutrition security.  </w:t>
      </w:r>
      <w:r w:rsidRPr="001F623B">
        <w:rPr>
          <w:rFonts w:ascii="Calibri" w:hAnsi="Calibri" w:cs="Calibri"/>
          <w:i/>
          <w:sz w:val="22"/>
          <w:szCs w:val="22"/>
        </w:rPr>
        <w:t>CAB Reviews</w:t>
      </w:r>
      <w:r w:rsidRPr="00F24FFD">
        <w:rPr>
          <w:rFonts w:ascii="Calibri" w:hAnsi="Calibri" w:cs="Calibri"/>
          <w:sz w:val="22"/>
          <w:szCs w:val="22"/>
        </w:rPr>
        <w:t xml:space="preserve"> </w:t>
      </w:r>
      <w:r w:rsidRPr="00F24FFD">
        <w:rPr>
          <w:rFonts w:ascii="Calibri" w:hAnsi="Calibri" w:cs="Calibri"/>
          <w:b/>
          <w:sz w:val="22"/>
          <w:szCs w:val="22"/>
        </w:rPr>
        <w:t>10</w:t>
      </w:r>
      <w:r w:rsidRPr="00F24FFD">
        <w:rPr>
          <w:rFonts w:ascii="Calibri" w:hAnsi="Calibri" w:cs="Calibri"/>
          <w:sz w:val="22"/>
          <w:szCs w:val="22"/>
        </w:rPr>
        <w:t>(13):1</w:t>
      </w:r>
      <w:r w:rsidR="00CA411A">
        <w:rPr>
          <w:rFonts w:cs="Arial"/>
          <w:szCs w:val="20"/>
        </w:rPr>
        <w:t>–</w:t>
      </w:r>
      <w:r w:rsidRPr="00F24FFD">
        <w:rPr>
          <w:rFonts w:ascii="Calibri" w:hAnsi="Calibri" w:cs="Calibri"/>
          <w:sz w:val="22"/>
          <w:szCs w:val="22"/>
        </w:rPr>
        <w:t>9</w:t>
      </w:r>
    </w:p>
    <w:p w14:paraId="0FBFEB45" w14:textId="2EFDD3E6" w:rsidR="005171E9" w:rsidRDefault="005171E9" w:rsidP="00F24FFD">
      <w:pPr>
        <w:ind w:left="720" w:hanging="720"/>
        <w:rPr>
          <w:rFonts w:ascii="Calibri" w:hAnsi="Calibri" w:cs="Calibri"/>
          <w:sz w:val="22"/>
          <w:szCs w:val="22"/>
        </w:rPr>
      </w:pPr>
      <w:r w:rsidRPr="005171E9">
        <w:rPr>
          <w:rFonts w:ascii="Calibri" w:hAnsi="Calibri" w:cs="Calibri"/>
          <w:sz w:val="22"/>
          <w:szCs w:val="22"/>
        </w:rPr>
        <w:t xml:space="preserve">DFAT. </w:t>
      </w:r>
      <w:r>
        <w:rPr>
          <w:rFonts w:ascii="Calibri" w:hAnsi="Calibri" w:cs="Calibri"/>
          <w:sz w:val="22"/>
          <w:szCs w:val="22"/>
        </w:rPr>
        <w:t xml:space="preserve">2015. </w:t>
      </w:r>
      <w:r w:rsidRPr="005171E9">
        <w:rPr>
          <w:rFonts w:ascii="Calibri" w:hAnsi="Calibri" w:cs="Calibri"/>
          <w:sz w:val="22"/>
          <w:szCs w:val="22"/>
        </w:rPr>
        <w:t>A window of opportunity: Australian aid and child undernutrition. Department of Foreign Affa</w:t>
      </w:r>
      <w:r>
        <w:rPr>
          <w:rFonts w:ascii="Calibri" w:hAnsi="Calibri" w:cs="Calibri"/>
          <w:sz w:val="22"/>
          <w:szCs w:val="22"/>
        </w:rPr>
        <w:t xml:space="preserve">irs and Trade, Canberra. </w:t>
      </w:r>
      <w:r w:rsidRPr="005171E9">
        <w:rPr>
          <w:rFonts w:ascii="Calibri" w:hAnsi="Calibri" w:cs="Calibri"/>
          <w:sz w:val="22"/>
          <w:szCs w:val="22"/>
        </w:rPr>
        <w:t xml:space="preserve">Available: </w:t>
      </w:r>
      <w:hyperlink r:id="rId12" w:history="1">
        <w:r w:rsidRPr="0035182E">
          <w:rPr>
            <w:rStyle w:val="Hyperlink"/>
            <w:rFonts w:ascii="Calibri" w:hAnsi="Calibri" w:cs="Calibri"/>
            <w:sz w:val="22"/>
            <w:szCs w:val="22"/>
          </w:rPr>
          <w:t>https://dfat.gov.au/aid/how-we-measure-performance/ode/Documents/a-window-of-opportunity-australian-aid-and-child-undernutrition-2015-ode-brief.pdf</w:t>
        </w:r>
      </w:hyperlink>
      <w:r>
        <w:rPr>
          <w:rFonts w:ascii="Calibri" w:hAnsi="Calibri" w:cs="Calibri"/>
          <w:sz w:val="22"/>
          <w:szCs w:val="22"/>
        </w:rPr>
        <w:t xml:space="preserve"> </w:t>
      </w:r>
    </w:p>
    <w:p w14:paraId="50B16918" w14:textId="27A0B8AF" w:rsidR="00EB3DCB" w:rsidRDefault="00EB3DCB" w:rsidP="00F24FFD">
      <w:pPr>
        <w:ind w:left="720" w:hanging="720"/>
        <w:rPr>
          <w:rFonts w:ascii="Calibri" w:hAnsi="Calibri" w:cs="Calibri"/>
          <w:sz w:val="22"/>
          <w:szCs w:val="22"/>
        </w:rPr>
      </w:pPr>
      <w:r w:rsidRPr="00EB3DCB">
        <w:rPr>
          <w:rFonts w:ascii="Calibri" w:hAnsi="Calibri" w:cs="Calibri"/>
          <w:sz w:val="22"/>
          <w:szCs w:val="22"/>
        </w:rPr>
        <w:t xml:space="preserve">Doku, D.T. and Neupane, S. 2015. Double burden of malnutrition: </w:t>
      </w:r>
      <w:r w:rsidR="00F263C1">
        <w:rPr>
          <w:rFonts w:ascii="Calibri" w:hAnsi="Calibri" w:cs="Calibri"/>
          <w:sz w:val="22"/>
          <w:szCs w:val="22"/>
        </w:rPr>
        <w:t>i</w:t>
      </w:r>
      <w:r w:rsidRPr="00EB3DCB">
        <w:rPr>
          <w:rFonts w:ascii="Calibri" w:hAnsi="Calibri" w:cs="Calibri"/>
          <w:sz w:val="22"/>
          <w:szCs w:val="22"/>
        </w:rPr>
        <w:t xml:space="preserve">ncreasing overweight and obesity and stall underweight trends among Ghanaian women. </w:t>
      </w:r>
      <w:r w:rsidRPr="001F623B">
        <w:rPr>
          <w:rFonts w:ascii="Calibri" w:hAnsi="Calibri" w:cs="Calibri"/>
          <w:i/>
          <w:sz w:val="22"/>
          <w:szCs w:val="22"/>
        </w:rPr>
        <w:t>BMC Public Health</w:t>
      </w:r>
      <w:r w:rsidRPr="00EB3DCB">
        <w:rPr>
          <w:rFonts w:ascii="Calibri" w:hAnsi="Calibri" w:cs="Calibri"/>
          <w:sz w:val="22"/>
          <w:szCs w:val="22"/>
        </w:rPr>
        <w:t xml:space="preserve"> </w:t>
      </w:r>
      <w:r w:rsidRPr="00EB3DCB">
        <w:rPr>
          <w:rFonts w:ascii="Calibri" w:hAnsi="Calibri" w:cs="Calibri"/>
          <w:b/>
          <w:sz w:val="22"/>
          <w:szCs w:val="22"/>
        </w:rPr>
        <w:t>15</w:t>
      </w:r>
      <w:r w:rsidRPr="00EB3DCB">
        <w:rPr>
          <w:rFonts w:ascii="Calibri" w:hAnsi="Calibri" w:cs="Calibri"/>
          <w:sz w:val="22"/>
          <w:szCs w:val="22"/>
        </w:rPr>
        <w:t xml:space="preserve">: 670. </w:t>
      </w:r>
      <w:r w:rsidR="00CA411A">
        <w:rPr>
          <w:rFonts w:ascii="Calibri" w:hAnsi="Calibri" w:cs="Calibri"/>
          <w:sz w:val="22"/>
          <w:szCs w:val="22"/>
        </w:rPr>
        <w:t>DOI</w:t>
      </w:r>
      <w:r w:rsidRPr="00EB3DCB">
        <w:rPr>
          <w:rFonts w:ascii="Calibri" w:hAnsi="Calibri" w:cs="Calibri"/>
          <w:sz w:val="22"/>
          <w:szCs w:val="22"/>
        </w:rPr>
        <w:t>: 10.1186/s12889-015-2033-6.</w:t>
      </w:r>
    </w:p>
    <w:p w14:paraId="41198BF2" w14:textId="0B30DCB2" w:rsidR="0096401B" w:rsidRPr="00F24FFD" w:rsidRDefault="0096401B" w:rsidP="00F24FFD">
      <w:pPr>
        <w:ind w:left="720" w:hanging="720"/>
        <w:rPr>
          <w:rFonts w:ascii="Calibri" w:hAnsi="Calibri" w:cs="Calibri"/>
          <w:sz w:val="22"/>
          <w:szCs w:val="22"/>
        </w:rPr>
      </w:pPr>
      <w:r w:rsidRPr="0096401B">
        <w:rPr>
          <w:rFonts w:ascii="Calibri" w:hAnsi="Calibri" w:cs="Calibri"/>
          <w:sz w:val="22"/>
          <w:szCs w:val="22"/>
        </w:rPr>
        <w:t xml:space="preserve">FAO. </w:t>
      </w:r>
      <w:r>
        <w:rPr>
          <w:rFonts w:ascii="Calibri" w:hAnsi="Calibri" w:cs="Calibri"/>
          <w:sz w:val="22"/>
          <w:szCs w:val="22"/>
        </w:rPr>
        <w:t xml:space="preserve">2009. </w:t>
      </w:r>
      <w:r w:rsidRPr="0096401B">
        <w:rPr>
          <w:rFonts w:ascii="Calibri" w:hAnsi="Calibri" w:cs="Calibri"/>
          <w:sz w:val="22"/>
          <w:szCs w:val="22"/>
        </w:rPr>
        <w:t xml:space="preserve">High Level Expert Forum </w:t>
      </w:r>
      <w:r w:rsidR="008D1FC5">
        <w:rPr>
          <w:rFonts w:cs="Arial"/>
          <w:szCs w:val="20"/>
        </w:rPr>
        <w:t xml:space="preserve">— </w:t>
      </w:r>
      <w:r w:rsidRPr="0096401B">
        <w:rPr>
          <w:rFonts w:ascii="Calibri" w:hAnsi="Calibri" w:cs="Calibri"/>
          <w:sz w:val="22"/>
          <w:szCs w:val="22"/>
        </w:rPr>
        <w:t xml:space="preserve">How to Feed the World in 2050. </w:t>
      </w:r>
      <w:r>
        <w:rPr>
          <w:rFonts w:ascii="Calibri" w:hAnsi="Calibri" w:cs="Calibri"/>
          <w:sz w:val="22"/>
          <w:szCs w:val="22"/>
        </w:rPr>
        <w:t xml:space="preserve">Food and Agriculture Organization of the United Nations, Rome. </w:t>
      </w:r>
      <w:r w:rsidRPr="0096401B">
        <w:rPr>
          <w:rFonts w:ascii="Calibri" w:hAnsi="Calibri" w:cs="Calibri"/>
          <w:sz w:val="22"/>
          <w:szCs w:val="22"/>
        </w:rPr>
        <w:t xml:space="preserve">Available: </w:t>
      </w:r>
      <w:hyperlink r:id="rId13" w:history="1">
        <w:r w:rsidRPr="0035182E">
          <w:rPr>
            <w:rStyle w:val="Hyperlink"/>
            <w:rFonts w:ascii="Calibri" w:hAnsi="Calibri" w:cs="Calibri"/>
            <w:sz w:val="22"/>
            <w:szCs w:val="22"/>
          </w:rPr>
          <w:t>http://www.fao.org/fileadmin/templates/wsfs/docs/Issues_papers/HLEF2050_Global_Agriculture.pdf</w:t>
        </w:r>
      </w:hyperlink>
    </w:p>
    <w:p w14:paraId="0C1A8EAC" w14:textId="151A371E" w:rsidR="00F24FFD" w:rsidRDefault="00F24FFD" w:rsidP="00F24FFD">
      <w:pPr>
        <w:ind w:left="720" w:hanging="720"/>
        <w:rPr>
          <w:rFonts w:ascii="Calibri" w:hAnsi="Calibri" w:cs="Calibri"/>
          <w:sz w:val="22"/>
          <w:szCs w:val="22"/>
        </w:rPr>
      </w:pPr>
      <w:r w:rsidRPr="00F24FFD">
        <w:rPr>
          <w:rFonts w:ascii="Calibri" w:hAnsi="Calibri" w:cs="Calibri"/>
          <w:sz w:val="22"/>
          <w:szCs w:val="22"/>
        </w:rPr>
        <w:t xml:space="preserve">Glopan. 2014. How can Agriculture and Food System Policies improve Nutrition? </w:t>
      </w:r>
      <w:r w:rsidR="008D1FC5" w:rsidRPr="00F24FFD">
        <w:rPr>
          <w:rFonts w:ascii="Calibri" w:hAnsi="Calibri" w:cs="Calibri"/>
          <w:sz w:val="22"/>
          <w:szCs w:val="22"/>
        </w:rPr>
        <w:t xml:space="preserve">Global Panel on Agriculture and Food Systems for Nutrition </w:t>
      </w:r>
      <w:r w:rsidRPr="00F24FFD">
        <w:rPr>
          <w:rFonts w:ascii="Calibri" w:hAnsi="Calibri" w:cs="Calibri"/>
          <w:sz w:val="22"/>
          <w:szCs w:val="22"/>
        </w:rPr>
        <w:t>Technical Brief, London</w:t>
      </w:r>
      <w:r w:rsidR="008D1FC5">
        <w:rPr>
          <w:rFonts w:ascii="Calibri" w:hAnsi="Calibri" w:cs="Calibri"/>
          <w:sz w:val="22"/>
          <w:szCs w:val="22"/>
        </w:rPr>
        <w:t>.</w:t>
      </w:r>
      <w:r w:rsidRPr="00F24FFD">
        <w:rPr>
          <w:rFonts w:ascii="Calibri" w:hAnsi="Calibri" w:cs="Calibri"/>
          <w:sz w:val="22"/>
          <w:szCs w:val="22"/>
        </w:rPr>
        <w:t xml:space="preserve">. Available: </w:t>
      </w:r>
      <w:hyperlink r:id="rId14" w:history="1">
        <w:r w:rsidRPr="0035182E">
          <w:rPr>
            <w:rStyle w:val="Hyperlink"/>
            <w:rFonts w:ascii="Calibri" w:hAnsi="Calibri" w:cs="Calibri"/>
            <w:sz w:val="22"/>
            <w:szCs w:val="22"/>
          </w:rPr>
          <w:t>http://www.glopan.org/sites/default/files/Global%20Panel%20Technical%20Brief%20Final.pdf</w:t>
        </w:r>
      </w:hyperlink>
      <w:r>
        <w:rPr>
          <w:rFonts w:ascii="Calibri" w:hAnsi="Calibri" w:cs="Calibri"/>
          <w:sz w:val="22"/>
          <w:szCs w:val="22"/>
        </w:rPr>
        <w:t xml:space="preserve"> </w:t>
      </w:r>
    </w:p>
    <w:p w14:paraId="71E00218" w14:textId="73536480" w:rsidR="00EB3DCB" w:rsidRPr="00F24FFD" w:rsidRDefault="00EB3DCB" w:rsidP="00F24FFD">
      <w:pPr>
        <w:ind w:left="720" w:hanging="720"/>
        <w:rPr>
          <w:rFonts w:ascii="Calibri" w:hAnsi="Calibri" w:cs="Calibri"/>
          <w:sz w:val="22"/>
          <w:szCs w:val="22"/>
        </w:rPr>
      </w:pPr>
      <w:r>
        <w:rPr>
          <w:rFonts w:ascii="Calibri" w:hAnsi="Calibri" w:cs="Calibri"/>
          <w:sz w:val="22"/>
          <w:szCs w:val="22"/>
        </w:rPr>
        <w:t xml:space="preserve">Gupta, A.R. </w:t>
      </w:r>
      <w:r w:rsidRPr="00EB3DCB">
        <w:rPr>
          <w:rFonts w:ascii="Calibri" w:hAnsi="Calibri" w:cs="Calibri"/>
          <w:sz w:val="22"/>
          <w:szCs w:val="22"/>
        </w:rPr>
        <w:t xml:space="preserve">2011. Ascites syndrome in poultry: a review. </w:t>
      </w:r>
      <w:r w:rsidRPr="001F623B">
        <w:rPr>
          <w:rFonts w:ascii="Calibri" w:hAnsi="Calibri" w:cs="Calibri"/>
          <w:i/>
          <w:sz w:val="22"/>
          <w:szCs w:val="22"/>
        </w:rPr>
        <w:t>World’s Poultry Science Journal</w:t>
      </w:r>
      <w:r w:rsidRPr="00EB3DCB">
        <w:rPr>
          <w:rFonts w:ascii="Calibri" w:hAnsi="Calibri" w:cs="Calibri"/>
          <w:sz w:val="22"/>
          <w:szCs w:val="22"/>
        </w:rPr>
        <w:t xml:space="preserve"> </w:t>
      </w:r>
      <w:r w:rsidRPr="00EB3DCB">
        <w:rPr>
          <w:rFonts w:ascii="Calibri" w:hAnsi="Calibri" w:cs="Calibri"/>
          <w:b/>
          <w:sz w:val="22"/>
          <w:szCs w:val="22"/>
        </w:rPr>
        <w:t>67</w:t>
      </w:r>
      <w:r w:rsidRPr="00EB3DCB">
        <w:rPr>
          <w:rFonts w:ascii="Calibri" w:hAnsi="Calibri" w:cs="Calibri"/>
          <w:sz w:val="22"/>
          <w:szCs w:val="22"/>
        </w:rPr>
        <w:t>(03): 457–468.</w:t>
      </w:r>
    </w:p>
    <w:p w14:paraId="39BD59F7" w14:textId="4CFBD1D9" w:rsidR="00F24FFD" w:rsidRDefault="00F24FFD" w:rsidP="00F24FFD">
      <w:pPr>
        <w:ind w:left="720" w:hanging="720"/>
        <w:rPr>
          <w:rFonts w:ascii="Calibri" w:hAnsi="Calibri" w:cs="Calibri"/>
          <w:sz w:val="22"/>
          <w:szCs w:val="22"/>
        </w:rPr>
      </w:pPr>
      <w:r w:rsidRPr="00F24FFD">
        <w:rPr>
          <w:rFonts w:ascii="Calibri" w:hAnsi="Calibri" w:cs="Calibri"/>
          <w:sz w:val="22"/>
          <w:szCs w:val="22"/>
        </w:rPr>
        <w:t>Hallberg L</w:t>
      </w:r>
      <w:r w:rsidR="00F263C1">
        <w:rPr>
          <w:rFonts w:ascii="Calibri" w:hAnsi="Calibri" w:cs="Calibri"/>
          <w:sz w:val="22"/>
          <w:szCs w:val="22"/>
        </w:rPr>
        <w:t>. and</w:t>
      </w:r>
      <w:r w:rsidRPr="00F24FFD">
        <w:rPr>
          <w:rFonts w:ascii="Calibri" w:hAnsi="Calibri" w:cs="Calibri"/>
          <w:sz w:val="22"/>
          <w:szCs w:val="22"/>
        </w:rPr>
        <w:t xml:space="preserve"> Hulthen L. 2000. Prediction of dietary iron absorption: an algorithm for calculating absorption and bioavailability of dietary iron. </w:t>
      </w:r>
      <w:r w:rsidRPr="001F623B">
        <w:rPr>
          <w:rFonts w:ascii="Calibri" w:hAnsi="Calibri" w:cs="Calibri"/>
          <w:i/>
          <w:sz w:val="22"/>
          <w:szCs w:val="22"/>
        </w:rPr>
        <w:t>American Journal of Clinical Nutrition</w:t>
      </w:r>
      <w:r>
        <w:rPr>
          <w:rFonts w:ascii="Calibri" w:hAnsi="Calibri" w:cs="Calibri"/>
          <w:sz w:val="22"/>
          <w:szCs w:val="22"/>
        </w:rPr>
        <w:t xml:space="preserve"> </w:t>
      </w:r>
      <w:r w:rsidRPr="00F24FFD">
        <w:rPr>
          <w:rFonts w:ascii="Calibri" w:hAnsi="Calibri" w:cs="Calibri"/>
          <w:b/>
          <w:sz w:val="22"/>
          <w:szCs w:val="22"/>
        </w:rPr>
        <w:t>71</w:t>
      </w:r>
      <w:r w:rsidRPr="00F24FFD">
        <w:rPr>
          <w:rFonts w:ascii="Calibri" w:hAnsi="Calibri" w:cs="Calibri"/>
          <w:sz w:val="22"/>
          <w:szCs w:val="22"/>
        </w:rPr>
        <w:t>:</w:t>
      </w:r>
      <w:r w:rsidR="001D0604">
        <w:rPr>
          <w:rFonts w:ascii="Calibri" w:hAnsi="Calibri" w:cs="Calibri"/>
          <w:sz w:val="22"/>
          <w:szCs w:val="22"/>
        </w:rPr>
        <w:t xml:space="preserve"> </w:t>
      </w:r>
      <w:r w:rsidRPr="00F24FFD">
        <w:rPr>
          <w:rFonts w:ascii="Calibri" w:hAnsi="Calibri" w:cs="Calibri"/>
          <w:sz w:val="22"/>
          <w:szCs w:val="22"/>
        </w:rPr>
        <w:t>1147–60.</w:t>
      </w:r>
    </w:p>
    <w:p w14:paraId="30312D53" w14:textId="5D23C627" w:rsidR="00B87545" w:rsidRDefault="00B87545" w:rsidP="001C49DF">
      <w:pPr>
        <w:pStyle w:val="EndNoteBibliography"/>
        <w:spacing w:after="0"/>
        <w:ind w:left="720" w:hanging="720"/>
      </w:pPr>
      <w:r w:rsidRPr="00AE1FCE">
        <w:t>Holmes, A</w:t>
      </w:r>
      <w:r w:rsidR="00F263C1">
        <w:t>.</w:t>
      </w:r>
      <w:r w:rsidRPr="00AE1FCE">
        <w:t>H., Moore</w:t>
      </w:r>
      <w:r w:rsidR="00F263C1" w:rsidRPr="00F263C1">
        <w:t xml:space="preserve"> </w:t>
      </w:r>
      <w:r w:rsidR="00F263C1" w:rsidRPr="00AE1FCE">
        <w:t>L</w:t>
      </w:r>
      <w:r w:rsidR="00F263C1">
        <w:t>.</w:t>
      </w:r>
      <w:r w:rsidR="00F263C1" w:rsidRPr="00AE1FCE">
        <w:t>S. P.</w:t>
      </w:r>
      <w:r w:rsidRPr="00AE1FCE">
        <w:t>, Sundsfjord</w:t>
      </w:r>
      <w:r w:rsidR="00F263C1">
        <w:t xml:space="preserve"> A.</w:t>
      </w:r>
      <w:r w:rsidRPr="00AE1FCE">
        <w:t>, Steinbakk</w:t>
      </w:r>
      <w:r w:rsidR="00F263C1">
        <w:t xml:space="preserve"> M.</w:t>
      </w:r>
      <w:r w:rsidRPr="00AE1FCE">
        <w:t>, Regmi</w:t>
      </w:r>
      <w:r w:rsidR="00F263C1">
        <w:t xml:space="preserve"> S.</w:t>
      </w:r>
      <w:r w:rsidRPr="00AE1FCE">
        <w:t>, Karkey</w:t>
      </w:r>
      <w:r w:rsidR="00F263C1">
        <w:t xml:space="preserve"> A.</w:t>
      </w:r>
      <w:r w:rsidRPr="00AE1FCE">
        <w:t>, Guerin</w:t>
      </w:r>
      <w:r w:rsidR="00F263C1">
        <w:t xml:space="preserve"> P.J.</w:t>
      </w:r>
      <w:r w:rsidRPr="00AE1FCE">
        <w:t>, and Piddock</w:t>
      </w:r>
      <w:r w:rsidR="00F263C1">
        <w:t xml:space="preserve"> LJV</w:t>
      </w:r>
      <w:r w:rsidRPr="00AE1FCE">
        <w:t xml:space="preserve">. </w:t>
      </w:r>
      <w:r w:rsidR="002B6F91">
        <w:t xml:space="preserve"> 2016. </w:t>
      </w:r>
      <w:r w:rsidRPr="00AE1FCE">
        <w:t xml:space="preserve">Understanding the mechanisms and drivers of antimicrobial resistance. </w:t>
      </w:r>
      <w:r w:rsidRPr="00AE1FCE">
        <w:rPr>
          <w:i/>
        </w:rPr>
        <w:t>The Lancet</w:t>
      </w:r>
      <w:r w:rsidRPr="00AE1FCE">
        <w:t xml:space="preserve"> 387 (10014):176</w:t>
      </w:r>
      <w:bookmarkStart w:id="1" w:name="_Hlk503708684"/>
      <w:r w:rsidR="00F263C1">
        <w:rPr>
          <w:rFonts w:cs="Arial"/>
          <w:szCs w:val="20"/>
        </w:rPr>
        <w:t>–</w:t>
      </w:r>
      <w:bookmarkEnd w:id="1"/>
      <w:r w:rsidRPr="00AE1FCE">
        <w:t xml:space="preserve">187. </w:t>
      </w:r>
      <w:r w:rsidR="00CA411A">
        <w:t>DOI</w:t>
      </w:r>
      <w:r w:rsidRPr="00AE1FCE">
        <w:t>: 10.1016/S0140-6736(15)00473-0.</w:t>
      </w:r>
    </w:p>
    <w:p w14:paraId="69A4A5C3" w14:textId="0AB15D46" w:rsidR="008924CC" w:rsidRDefault="008924CC" w:rsidP="00F24FFD">
      <w:pPr>
        <w:ind w:left="720" w:hanging="720"/>
        <w:rPr>
          <w:rFonts w:ascii="Calibri" w:hAnsi="Calibri" w:cs="Calibri"/>
          <w:sz w:val="22"/>
          <w:szCs w:val="22"/>
        </w:rPr>
      </w:pPr>
      <w:r w:rsidRPr="008924CC">
        <w:rPr>
          <w:rFonts w:ascii="Calibri" w:hAnsi="Calibri" w:cs="Calibri"/>
          <w:sz w:val="22"/>
          <w:szCs w:val="22"/>
        </w:rPr>
        <w:t xml:space="preserve">Kock, R., Alders, R., and Wallace, R. </w:t>
      </w:r>
      <w:r>
        <w:rPr>
          <w:rFonts w:ascii="Calibri" w:hAnsi="Calibri" w:cs="Calibri"/>
          <w:sz w:val="22"/>
          <w:szCs w:val="22"/>
        </w:rPr>
        <w:t xml:space="preserve">2011. </w:t>
      </w:r>
      <w:r w:rsidRPr="008924CC">
        <w:rPr>
          <w:rFonts w:ascii="Calibri" w:hAnsi="Calibri" w:cs="Calibri"/>
          <w:sz w:val="22"/>
          <w:szCs w:val="22"/>
        </w:rPr>
        <w:t xml:space="preserve">Wildlife, wild food, food security and human society. Proc OIE Global Conference </w:t>
      </w:r>
      <w:r w:rsidR="008D1FC5">
        <w:rPr>
          <w:rFonts w:ascii="Calibri" w:hAnsi="Calibri" w:cs="Calibri"/>
          <w:sz w:val="22"/>
          <w:szCs w:val="22"/>
        </w:rPr>
        <w:t xml:space="preserve">on </w:t>
      </w:r>
      <w:r w:rsidRPr="008924CC">
        <w:rPr>
          <w:rFonts w:ascii="Calibri" w:hAnsi="Calibri" w:cs="Calibri"/>
          <w:sz w:val="22"/>
          <w:szCs w:val="22"/>
        </w:rPr>
        <w:t xml:space="preserve">Wildlife: Animal Health and Biodiversity </w:t>
      </w:r>
      <w:r w:rsidR="008D1FC5">
        <w:rPr>
          <w:rFonts w:cs="Arial"/>
          <w:szCs w:val="20"/>
        </w:rPr>
        <w:t xml:space="preserve">— </w:t>
      </w:r>
      <w:r w:rsidRPr="008924CC">
        <w:rPr>
          <w:rFonts w:ascii="Calibri" w:hAnsi="Calibri" w:cs="Calibri"/>
          <w:sz w:val="22"/>
          <w:szCs w:val="22"/>
        </w:rPr>
        <w:t>Preparing for the Future</w:t>
      </w:r>
      <w:r w:rsidR="008D1FC5">
        <w:rPr>
          <w:rFonts w:ascii="Calibri" w:hAnsi="Calibri" w:cs="Calibri"/>
          <w:sz w:val="22"/>
          <w:szCs w:val="22"/>
        </w:rPr>
        <w:t xml:space="preserve">. OIE, </w:t>
      </w:r>
      <w:r w:rsidRPr="008924CC">
        <w:rPr>
          <w:rFonts w:ascii="Calibri" w:hAnsi="Calibri" w:cs="Calibri"/>
          <w:sz w:val="22"/>
          <w:szCs w:val="22"/>
        </w:rPr>
        <w:t>Paris.</w:t>
      </w:r>
    </w:p>
    <w:p w14:paraId="6C781728" w14:textId="3F8011C7" w:rsidR="009935EC" w:rsidRDefault="009935EC" w:rsidP="00F24FFD">
      <w:pPr>
        <w:ind w:left="720" w:hanging="720"/>
        <w:rPr>
          <w:rFonts w:ascii="Calibri" w:hAnsi="Calibri" w:cs="Calibri"/>
          <w:sz w:val="22"/>
          <w:szCs w:val="22"/>
        </w:rPr>
      </w:pPr>
      <w:r w:rsidRPr="009935EC">
        <w:rPr>
          <w:rFonts w:ascii="Calibri" w:hAnsi="Calibri" w:cs="Calibri"/>
          <w:sz w:val="22"/>
          <w:szCs w:val="22"/>
        </w:rPr>
        <w:t xml:space="preserve">Lindahl, J.F. and Grace, D. </w:t>
      </w:r>
      <w:r>
        <w:rPr>
          <w:rFonts w:ascii="Calibri" w:hAnsi="Calibri" w:cs="Calibri"/>
          <w:sz w:val="22"/>
          <w:szCs w:val="22"/>
        </w:rPr>
        <w:t xml:space="preserve">2012. </w:t>
      </w:r>
      <w:r w:rsidRPr="009935EC">
        <w:rPr>
          <w:rFonts w:ascii="Calibri" w:hAnsi="Calibri" w:cs="Calibri"/>
          <w:sz w:val="22"/>
          <w:szCs w:val="22"/>
        </w:rPr>
        <w:t xml:space="preserve">The consequences of human actions on risks for infectious diseases: a review. Infection Ecology and Epidemiology </w:t>
      </w:r>
      <w:r w:rsidRPr="009935EC">
        <w:rPr>
          <w:rFonts w:ascii="Calibri" w:hAnsi="Calibri" w:cs="Calibri"/>
          <w:b/>
          <w:sz w:val="22"/>
          <w:szCs w:val="22"/>
        </w:rPr>
        <w:t>5</w:t>
      </w:r>
      <w:r w:rsidRPr="009935EC">
        <w:rPr>
          <w:rFonts w:ascii="Calibri" w:hAnsi="Calibri" w:cs="Calibri"/>
          <w:sz w:val="22"/>
          <w:szCs w:val="22"/>
        </w:rPr>
        <w:t xml:space="preserve">: 30048 </w:t>
      </w:r>
      <w:hyperlink r:id="rId15" w:history="1">
        <w:r w:rsidR="00511562" w:rsidRPr="0035182E">
          <w:rPr>
            <w:rStyle w:val="Hyperlink"/>
            <w:rFonts w:ascii="Calibri" w:hAnsi="Calibri" w:cs="Calibri"/>
            <w:sz w:val="22"/>
            <w:szCs w:val="22"/>
          </w:rPr>
          <w:t>http://dx.doi.org/10.3402/iee.v5.30048</w:t>
        </w:r>
      </w:hyperlink>
    </w:p>
    <w:p w14:paraId="561D5A42" w14:textId="62845D77" w:rsidR="00511562" w:rsidRPr="00F24FFD" w:rsidRDefault="00511562" w:rsidP="00F24FFD">
      <w:pPr>
        <w:ind w:left="720" w:hanging="720"/>
        <w:rPr>
          <w:rFonts w:ascii="Calibri" w:hAnsi="Calibri" w:cs="Calibri"/>
          <w:sz w:val="22"/>
          <w:szCs w:val="22"/>
        </w:rPr>
      </w:pPr>
      <w:r w:rsidRPr="00511562">
        <w:rPr>
          <w:rFonts w:ascii="Calibri" w:hAnsi="Calibri" w:cs="Calibri"/>
          <w:sz w:val="22"/>
          <w:szCs w:val="22"/>
        </w:rPr>
        <w:t xml:space="preserve">Muir, W.M., Wong, G.K., Zhang, Y., Wang, J., Groenend, M.A.M., Crooijmans, R.P.M.A., Megensd, H-K., Zhang, H., Okimoto, R., Vereijkeng, A., Jungerius, A., Albers, G.A.A., Taylor Lawley, C., Delanyi, M.E., MacEachern, E.and Cheng, H.H. </w:t>
      </w:r>
      <w:r>
        <w:rPr>
          <w:rFonts w:ascii="Calibri" w:hAnsi="Calibri" w:cs="Calibri"/>
          <w:sz w:val="22"/>
          <w:szCs w:val="22"/>
        </w:rPr>
        <w:t xml:space="preserve">2008. </w:t>
      </w:r>
      <w:r w:rsidRPr="00511562">
        <w:rPr>
          <w:rFonts w:ascii="Calibri" w:hAnsi="Calibri" w:cs="Calibri"/>
          <w:sz w:val="22"/>
          <w:szCs w:val="22"/>
        </w:rPr>
        <w:t xml:space="preserve">Genome-wide assessment of worldwide chicken SNP genetic diversity indicates significant absence of rare alleles in commercial breeds. </w:t>
      </w:r>
      <w:r w:rsidR="001F623B" w:rsidRPr="001F623B">
        <w:rPr>
          <w:rFonts w:ascii="Calibri" w:hAnsi="Calibri" w:cs="Calibri"/>
          <w:i/>
          <w:sz w:val="22"/>
          <w:szCs w:val="22"/>
        </w:rPr>
        <w:t xml:space="preserve">Proceedings of the National Academy of Sciences of the United States of America </w:t>
      </w:r>
      <w:r w:rsidRPr="00511562">
        <w:rPr>
          <w:rFonts w:ascii="Calibri" w:hAnsi="Calibri" w:cs="Calibri"/>
          <w:b/>
          <w:sz w:val="22"/>
          <w:szCs w:val="22"/>
        </w:rPr>
        <w:t>105</w:t>
      </w:r>
      <w:r w:rsidRPr="00511562">
        <w:rPr>
          <w:rFonts w:ascii="Calibri" w:hAnsi="Calibri" w:cs="Calibri"/>
          <w:sz w:val="22"/>
          <w:szCs w:val="22"/>
        </w:rPr>
        <w:t>(45): 17312–17317.</w:t>
      </w:r>
    </w:p>
    <w:p w14:paraId="3F1C7237" w14:textId="0B0289C2" w:rsidR="00F24FFD" w:rsidRDefault="00F24FFD" w:rsidP="00F24FFD">
      <w:pPr>
        <w:ind w:left="720" w:hanging="720"/>
        <w:rPr>
          <w:rFonts w:ascii="Calibri" w:hAnsi="Calibri" w:cs="Calibri"/>
          <w:sz w:val="22"/>
          <w:szCs w:val="22"/>
        </w:rPr>
      </w:pPr>
      <w:r w:rsidRPr="00F24FFD">
        <w:rPr>
          <w:rFonts w:ascii="Calibri" w:hAnsi="Calibri" w:cs="Calibri"/>
          <w:sz w:val="22"/>
          <w:szCs w:val="22"/>
        </w:rPr>
        <w:lastRenderedPageBreak/>
        <w:t xml:space="preserve">Neumann C, Harris DM, Rogers LM. 2002. Contribution of animal source foods in improving diet quality and function in children in the developing world. </w:t>
      </w:r>
      <w:r w:rsidRPr="001F623B">
        <w:rPr>
          <w:rFonts w:ascii="Calibri" w:hAnsi="Calibri" w:cs="Calibri"/>
          <w:i/>
          <w:sz w:val="22"/>
          <w:szCs w:val="22"/>
        </w:rPr>
        <w:t>Nutrition Research</w:t>
      </w:r>
      <w:r w:rsidRPr="00F24FFD">
        <w:rPr>
          <w:rFonts w:ascii="Calibri" w:hAnsi="Calibri" w:cs="Calibri"/>
          <w:sz w:val="22"/>
          <w:szCs w:val="22"/>
        </w:rPr>
        <w:t xml:space="preserve"> </w:t>
      </w:r>
      <w:r w:rsidRPr="00F24FFD">
        <w:rPr>
          <w:rFonts w:ascii="Calibri" w:hAnsi="Calibri" w:cs="Calibri"/>
          <w:b/>
          <w:sz w:val="22"/>
          <w:szCs w:val="22"/>
        </w:rPr>
        <w:t>22</w:t>
      </w:r>
      <w:r w:rsidRPr="00F24FFD">
        <w:rPr>
          <w:rFonts w:ascii="Calibri" w:hAnsi="Calibri" w:cs="Calibri"/>
          <w:sz w:val="22"/>
          <w:szCs w:val="22"/>
        </w:rPr>
        <w:t>:</w:t>
      </w:r>
      <w:r w:rsidR="00F263C1">
        <w:rPr>
          <w:rFonts w:ascii="Calibri" w:hAnsi="Calibri" w:cs="Calibri"/>
          <w:sz w:val="22"/>
          <w:szCs w:val="22"/>
        </w:rPr>
        <w:t xml:space="preserve"> </w:t>
      </w:r>
      <w:r w:rsidRPr="00F24FFD">
        <w:rPr>
          <w:rFonts w:ascii="Calibri" w:hAnsi="Calibri" w:cs="Calibri"/>
          <w:sz w:val="22"/>
          <w:szCs w:val="22"/>
        </w:rPr>
        <w:t>193–220.</w:t>
      </w:r>
    </w:p>
    <w:p w14:paraId="41567276" w14:textId="65C1BB33" w:rsidR="002C246F" w:rsidRDefault="002C246F" w:rsidP="001C49DF">
      <w:pPr>
        <w:pStyle w:val="EndNoteBibliography"/>
        <w:spacing w:after="0"/>
        <w:ind w:left="720" w:hanging="720"/>
      </w:pPr>
      <w:r>
        <w:fldChar w:fldCharType="begin"/>
      </w:r>
      <w:r>
        <w:instrText xml:space="preserve"> ADDIN EN.REFLIST </w:instrText>
      </w:r>
      <w:r>
        <w:fldChar w:fldCharType="separate"/>
      </w:r>
      <w:r w:rsidRPr="006A1956">
        <w:t>O’Neill, Jim. 2014. Review on antimicrobial resistance. Tackling drug-resistant infections globally</w:t>
      </w:r>
      <w:r w:rsidR="008D1FC5">
        <w:t>.</w:t>
      </w:r>
      <w:r w:rsidRPr="006A1956">
        <w:t xml:space="preserve"> Wellcome Trust</w:t>
      </w:r>
      <w:r w:rsidR="008D1FC5">
        <w:t>, London</w:t>
      </w:r>
      <w:r w:rsidRPr="006A1956">
        <w:t>.</w:t>
      </w:r>
      <w:r>
        <w:fldChar w:fldCharType="end"/>
      </w:r>
      <w:r w:rsidR="002B6F91">
        <w:t xml:space="preserve"> Available: </w:t>
      </w:r>
      <w:hyperlink r:id="rId16" w:history="1">
        <w:r w:rsidR="002B6F91" w:rsidRPr="00F27269">
          <w:rPr>
            <w:rStyle w:val="Hyperlink"/>
          </w:rPr>
          <w:t>https://amr-review.org/sites/default/files/160525_Final%20paper_with%20cover.pdf</w:t>
        </w:r>
      </w:hyperlink>
      <w:r w:rsidR="002B6F91">
        <w:t xml:space="preserve"> </w:t>
      </w:r>
    </w:p>
    <w:p w14:paraId="2C71E179" w14:textId="2848B5FA" w:rsidR="00CD6BA7" w:rsidRDefault="00CD6BA7" w:rsidP="00CD6BA7">
      <w:pPr>
        <w:ind w:left="720" w:hanging="720"/>
        <w:rPr>
          <w:rFonts w:ascii="Calibri" w:hAnsi="Calibri" w:cs="Calibri"/>
          <w:sz w:val="22"/>
          <w:szCs w:val="22"/>
        </w:rPr>
      </w:pPr>
      <w:r>
        <w:rPr>
          <w:rFonts w:ascii="Calibri" w:hAnsi="Calibri" w:cs="Calibri"/>
          <w:sz w:val="22"/>
          <w:szCs w:val="22"/>
        </w:rPr>
        <w:t>Peters, C.J., Picardy, J.,</w:t>
      </w:r>
      <w:r w:rsidRPr="00CD6BA7">
        <w:rPr>
          <w:rFonts w:ascii="Calibri" w:hAnsi="Calibri" w:cs="Calibri"/>
          <w:sz w:val="22"/>
          <w:szCs w:val="22"/>
        </w:rPr>
        <w:t xml:space="preserve"> Darrouzet-Nardi</w:t>
      </w:r>
      <w:r>
        <w:rPr>
          <w:rFonts w:ascii="Calibri" w:hAnsi="Calibri" w:cs="Calibri"/>
          <w:sz w:val="22"/>
          <w:szCs w:val="22"/>
        </w:rPr>
        <w:t xml:space="preserve">, A.F., </w:t>
      </w:r>
      <w:r w:rsidRPr="00CD6BA7">
        <w:rPr>
          <w:rFonts w:ascii="Calibri" w:hAnsi="Calibri" w:cs="Calibri"/>
          <w:sz w:val="22"/>
          <w:szCs w:val="22"/>
        </w:rPr>
        <w:t>Wilkins</w:t>
      </w:r>
      <w:r>
        <w:rPr>
          <w:rFonts w:ascii="Calibri" w:hAnsi="Calibri" w:cs="Calibri"/>
          <w:sz w:val="22"/>
          <w:szCs w:val="22"/>
        </w:rPr>
        <w:t>, J.L.,</w:t>
      </w:r>
      <w:r w:rsidRPr="00CD6BA7">
        <w:rPr>
          <w:rFonts w:ascii="Calibri" w:hAnsi="Calibri" w:cs="Calibri"/>
          <w:sz w:val="22"/>
          <w:szCs w:val="22"/>
        </w:rPr>
        <w:t> Griffin</w:t>
      </w:r>
      <w:r>
        <w:rPr>
          <w:rFonts w:ascii="Calibri" w:hAnsi="Calibri" w:cs="Calibri"/>
          <w:sz w:val="22"/>
          <w:szCs w:val="22"/>
        </w:rPr>
        <w:t xml:space="preserve">, T.S. and </w:t>
      </w:r>
      <w:r w:rsidRPr="00CD6BA7">
        <w:rPr>
          <w:rFonts w:ascii="Calibri" w:hAnsi="Calibri" w:cs="Calibri"/>
          <w:sz w:val="22"/>
          <w:szCs w:val="22"/>
        </w:rPr>
        <w:t>Fick</w:t>
      </w:r>
      <w:r>
        <w:rPr>
          <w:rFonts w:ascii="Calibri" w:hAnsi="Calibri" w:cs="Calibri"/>
          <w:sz w:val="22"/>
          <w:szCs w:val="22"/>
        </w:rPr>
        <w:t xml:space="preserve">, J. W. 2016. </w:t>
      </w:r>
      <w:r w:rsidRPr="00CD6BA7">
        <w:rPr>
          <w:rFonts w:ascii="Calibri" w:hAnsi="Calibri" w:cs="Calibri"/>
          <w:sz w:val="22"/>
          <w:szCs w:val="22"/>
        </w:rPr>
        <w:t>Carrying capacity of U.S. agricultural land:</w:t>
      </w:r>
      <w:r>
        <w:rPr>
          <w:rFonts w:ascii="Calibri" w:hAnsi="Calibri" w:cs="Calibri"/>
          <w:sz w:val="22"/>
          <w:szCs w:val="22"/>
        </w:rPr>
        <w:t xml:space="preserve"> </w:t>
      </w:r>
      <w:r w:rsidR="00890530">
        <w:rPr>
          <w:rFonts w:ascii="Calibri" w:hAnsi="Calibri" w:cs="Calibri"/>
          <w:sz w:val="22"/>
          <w:szCs w:val="22"/>
        </w:rPr>
        <w:t>t</w:t>
      </w:r>
      <w:r w:rsidRPr="00CD6BA7">
        <w:rPr>
          <w:rFonts w:ascii="Calibri" w:hAnsi="Calibri" w:cs="Calibri"/>
          <w:sz w:val="22"/>
          <w:szCs w:val="22"/>
        </w:rPr>
        <w:t>en diet scenarios</w:t>
      </w:r>
      <w:r>
        <w:rPr>
          <w:rFonts w:ascii="Calibri" w:hAnsi="Calibri" w:cs="Calibri"/>
          <w:sz w:val="22"/>
          <w:szCs w:val="22"/>
        </w:rPr>
        <w:t xml:space="preserve">.  </w:t>
      </w:r>
      <w:r w:rsidRPr="001F623B">
        <w:rPr>
          <w:rFonts w:ascii="Calibri" w:hAnsi="Calibri" w:cs="Calibri"/>
          <w:i/>
          <w:sz w:val="22"/>
          <w:szCs w:val="22"/>
        </w:rPr>
        <w:t>Elementa: Science of the Anthropocene</w:t>
      </w:r>
      <w:r>
        <w:rPr>
          <w:rFonts w:ascii="Calibri" w:hAnsi="Calibri" w:cs="Calibri"/>
          <w:sz w:val="22"/>
          <w:szCs w:val="22"/>
        </w:rPr>
        <w:t xml:space="preserve"> </w:t>
      </w:r>
      <w:r w:rsidR="00CA411A">
        <w:rPr>
          <w:rFonts w:ascii="Calibri" w:hAnsi="Calibri" w:cs="Calibri"/>
          <w:sz w:val="22"/>
          <w:szCs w:val="22"/>
        </w:rPr>
        <w:t>DOI</w:t>
      </w:r>
      <w:r w:rsidRPr="00CD6BA7">
        <w:rPr>
          <w:rFonts w:ascii="Calibri" w:hAnsi="Calibri" w:cs="Calibri"/>
          <w:sz w:val="22"/>
          <w:szCs w:val="22"/>
        </w:rPr>
        <w:t>: 10.12952/journal.elementa.000116</w:t>
      </w:r>
    </w:p>
    <w:p w14:paraId="27E3B92C" w14:textId="580DD817" w:rsidR="00A55C30" w:rsidRDefault="00A55C30" w:rsidP="00CD6BA7">
      <w:pPr>
        <w:ind w:left="720" w:hanging="720"/>
        <w:rPr>
          <w:rFonts w:ascii="Calibri" w:hAnsi="Calibri" w:cs="Calibri"/>
          <w:sz w:val="22"/>
          <w:szCs w:val="22"/>
        </w:rPr>
      </w:pPr>
      <w:r>
        <w:rPr>
          <w:rFonts w:ascii="Calibri" w:hAnsi="Calibri" w:cs="Calibri"/>
          <w:sz w:val="22"/>
          <w:szCs w:val="22"/>
        </w:rPr>
        <w:t xml:space="preserve">Pinstrup-Andersen, P. 2007. </w:t>
      </w:r>
      <w:r w:rsidRPr="00A55C30">
        <w:rPr>
          <w:rFonts w:ascii="Calibri" w:hAnsi="Calibri" w:cs="Calibri"/>
          <w:sz w:val="22"/>
          <w:szCs w:val="22"/>
        </w:rPr>
        <w:t>Agricultural research and policy for better health and nutrition in developing countries: a food systems approach</w:t>
      </w:r>
      <w:r>
        <w:rPr>
          <w:rFonts w:ascii="Calibri" w:hAnsi="Calibri" w:cs="Calibri"/>
          <w:sz w:val="22"/>
          <w:szCs w:val="22"/>
        </w:rPr>
        <w:t xml:space="preserve">. </w:t>
      </w:r>
      <w:r w:rsidRPr="001F623B">
        <w:rPr>
          <w:rFonts w:ascii="Calibri" w:hAnsi="Calibri" w:cs="Calibri"/>
          <w:i/>
          <w:sz w:val="22"/>
          <w:szCs w:val="22"/>
        </w:rPr>
        <w:t>Agricultural Economics</w:t>
      </w:r>
      <w:r>
        <w:rPr>
          <w:rFonts w:ascii="Calibri" w:hAnsi="Calibri" w:cs="Calibri"/>
          <w:sz w:val="22"/>
          <w:szCs w:val="22"/>
        </w:rPr>
        <w:t xml:space="preserve"> </w:t>
      </w:r>
      <w:r w:rsidRPr="001F623B">
        <w:rPr>
          <w:rFonts w:ascii="Calibri" w:hAnsi="Calibri" w:cs="Calibri"/>
          <w:b/>
          <w:sz w:val="22"/>
          <w:szCs w:val="22"/>
        </w:rPr>
        <w:t>37</w:t>
      </w:r>
      <w:r>
        <w:rPr>
          <w:rFonts w:ascii="Calibri" w:hAnsi="Calibri" w:cs="Calibri"/>
          <w:sz w:val="22"/>
          <w:szCs w:val="22"/>
        </w:rPr>
        <w:t>(</w:t>
      </w:r>
      <w:r w:rsidR="006E6C01">
        <w:rPr>
          <w:rFonts w:ascii="Calibri" w:hAnsi="Calibri" w:cs="Calibri"/>
          <w:sz w:val="22"/>
          <w:szCs w:val="22"/>
        </w:rPr>
        <w:t>S</w:t>
      </w:r>
      <w:r>
        <w:rPr>
          <w:rFonts w:ascii="Calibri" w:hAnsi="Calibri" w:cs="Calibri"/>
          <w:sz w:val="22"/>
          <w:szCs w:val="22"/>
        </w:rPr>
        <w:t>1):</w:t>
      </w:r>
      <w:r w:rsidR="001D0604">
        <w:rPr>
          <w:rFonts w:ascii="Calibri" w:hAnsi="Calibri" w:cs="Calibri"/>
          <w:sz w:val="22"/>
          <w:szCs w:val="22"/>
        </w:rPr>
        <w:t xml:space="preserve"> </w:t>
      </w:r>
      <w:r>
        <w:rPr>
          <w:rFonts w:ascii="Calibri" w:hAnsi="Calibri" w:cs="Calibri"/>
          <w:sz w:val="22"/>
          <w:szCs w:val="22"/>
        </w:rPr>
        <w:t>187</w:t>
      </w:r>
      <w:r w:rsidR="006E6C01">
        <w:rPr>
          <w:rFonts w:cs="Arial"/>
          <w:szCs w:val="20"/>
        </w:rPr>
        <w:t>–</w:t>
      </w:r>
      <w:r>
        <w:rPr>
          <w:rFonts w:ascii="Calibri" w:hAnsi="Calibri" w:cs="Calibri"/>
          <w:sz w:val="22"/>
          <w:szCs w:val="22"/>
        </w:rPr>
        <w:t>198.</w:t>
      </w:r>
    </w:p>
    <w:p w14:paraId="66439B22" w14:textId="19E0FEA6" w:rsidR="007227E6" w:rsidRDefault="007227E6" w:rsidP="00002D15">
      <w:pPr>
        <w:ind w:left="720" w:hanging="720"/>
        <w:rPr>
          <w:rFonts w:ascii="Calibri" w:hAnsi="Calibri" w:cs="Calibri"/>
          <w:sz w:val="22"/>
          <w:szCs w:val="22"/>
        </w:rPr>
      </w:pPr>
      <w:r w:rsidRPr="007227E6">
        <w:rPr>
          <w:rFonts w:ascii="Calibri" w:hAnsi="Calibri" w:cs="Calibri"/>
          <w:sz w:val="22"/>
          <w:szCs w:val="22"/>
        </w:rPr>
        <w:t xml:space="preserve">Rangan, A.M.; Ho, R.W.L.; Blight, G.D.; Binns, C.W. </w:t>
      </w:r>
      <w:r>
        <w:rPr>
          <w:rFonts w:ascii="Calibri" w:hAnsi="Calibri" w:cs="Calibri"/>
          <w:sz w:val="22"/>
          <w:szCs w:val="22"/>
        </w:rPr>
        <w:t xml:space="preserve">1997. </w:t>
      </w:r>
      <w:r w:rsidRPr="007227E6">
        <w:rPr>
          <w:rFonts w:ascii="Calibri" w:hAnsi="Calibri" w:cs="Calibri"/>
          <w:sz w:val="22"/>
          <w:szCs w:val="22"/>
        </w:rPr>
        <w:t>Haem iron content of Australian meat</w:t>
      </w:r>
      <w:r>
        <w:rPr>
          <w:rFonts w:ascii="Calibri" w:hAnsi="Calibri" w:cs="Calibri"/>
          <w:sz w:val="22"/>
          <w:szCs w:val="22"/>
        </w:rPr>
        <w:t xml:space="preserve">s and fish. </w:t>
      </w:r>
      <w:r w:rsidRPr="001F623B">
        <w:rPr>
          <w:rFonts w:ascii="Calibri" w:hAnsi="Calibri" w:cs="Calibri"/>
          <w:i/>
          <w:sz w:val="22"/>
          <w:szCs w:val="22"/>
        </w:rPr>
        <w:t>Food Australia</w:t>
      </w:r>
      <w:r>
        <w:rPr>
          <w:rFonts w:ascii="Calibri" w:hAnsi="Calibri" w:cs="Calibri"/>
          <w:sz w:val="22"/>
          <w:szCs w:val="22"/>
        </w:rPr>
        <w:t xml:space="preserve"> </w:t>
      </w:r>
      <w:r w:rsidRPr="007227E6">
        <w:rPr>
          <w:rFonts w:ascii="Calibri" w:hAnsi="Calibri" w:cs="Calibri"/>
          <w:b/>
          <w:sz w:val="22"/>
          <w:szCs w:val="22"/>
        </w:rPr>
        <w:t>49</w:t>
      </w:r>
      <w:r>
        <w:rPr>
          <w:rFonts w:ascii="Calibri" w:hAnsi="Calibri" w:cs="Calibri"/>
          <w:sz w:val="22"/>
          <w:szCs w:val="22"/>
        </w:rPr>
        <w:t>:</w:t>
      </w:r>
      <w:r w:rsidR="006E6C01">
        <w:rPr>
          <w:rFonts w:ascii="Calibri" w:hAnsi="Calibri" w:cs="Calibri"/>
          <w:sz w:val="22"/>
          <w:szCs w:val="22"/>
        </w:rPr>
        <w:t xml:space="preserve"> </w:t>
      </w:r>
      <w:r w:rsidRPr="007227E6">
        <w:rPr>
          <w:rFonts w:ascii="Calibri" w:hAnsi="Calibri" w:cs="Calibri"/>
          <w:sz w:val="22"/>
          <w:szCs w:val="22"/>
        </w:rPr>
        <w:t>508</w:t>
      </w:r>
      <w:r w:rsidR="006E6C01">
        <w:rPr>
          <w:rFonts w:cs="Arial"/>
          <w:szCs w:val="20"/>
        </w:rPr>
        <w:t>–</w:t>
      </w:r>
      <w:r w:rsidRPr="007227E6">
        <w:rPr>
          <w:rFonts w:ascii="Calibri" w:hAnsi="Calibri" w:cs="Calibri"/>
          <w:sz w:val="22"/>
          <w:szCs w:val="22"/>
        </w:rPr>
        <w:t>511.</w:t>
      </w:r>
    </w:p>
    <w:p w14:paraId="4AA35280" w14:textId="1D590A39" w:rsidR="00082423" w:rsidRDefault="00082423" w:rsidP="00002D15">
      <w:pPr>
        <w:ind w:left="720" w:hanging="720"/>
        <w:rPr>
          <w:rFonts w:ascii="Calibri" w:hAnsi="Calibri" w:cs="Calibri"/>
          <w:sz w:val="22"/>
          <w:szCs w:val="22"/>
        </w:rPr>
      </w:pPr>
      <w:r>
        <w:rPr>
          <w:rFonts w:ascii="Calibri" w:hAnsi="Calibri" w:cs="Calibri"/>
          <w:sz w:val="22"/>
          <w:szCs w:val="22"/>
        </w:rPr>
        <w:t xml:space="preserve">Sadd, B.M. and Schmid-Hempel, P. 2009. </w:t>
      </w:r>
      <w:r w:rsidRPr="00082423">
        <w:rPr>
          <w:rFonts w:ascii="Calibri" w:hAnsi="Calibri" w:cs="Calibri"/>
          <w:sz w:val="22"/>
          <w:szCs w:val="22"/>
        </w:rPr>
        <w:t>Principles of ecological immunology</w:t>
      </w:r>
      <w:r>
        <w:rPr>
          <w:rFonts w:ascii="Calibri" w:hAnsi="Calibri" w:cs="Calibri"/>
          <w:sz w:val="22"/>
          <w:szCs w:val="22"/>
        </w:rPr>
        <w:t xml:space="preserve">. </w:t>
      </w:r>
      <w:r w:rsidRPr="001F623B">
        <w:rPr>
          <w:rFonts w:ascii="Calibri" w:hAnsi="Calibri" w:cs="Calibri"/>
          <w:i/>
          <w:sz w:val="22"/>
          <w:szCs w:val="22"/>
        </w:rPr>
        <w:t>Evolutionary Applications</w:t>
      </w:r>
      <w:r>
        <w:rPr>
          <w:rFonts w:ascii="Calibri" w:hAnsi="Calibri" w:cs="Calibri"/>
          <w:sz w:val="22"/>
          <w:szCs w:val="22"/>
        </w:rPr>
        <w:t xml:space="preserve"> </w:t>
      </w:r>
      <w:r w:rsidRPr="00506EB0">
        <w:rPr>
          <w:rFonts w:ascii="Calibri" w:hAnsi="Calibri" w:cs="Calibri"/>
          <w:b/>
          <w:sz w:val="22"/>
          <w:szCs w:val="22"/>
        </w:rPr>
        <w:t>2</w:t>
      </w:r>
      <w:r w:rsidRPr="00082423">
        <w:rPr>
          <w:rFonts w:ascii="Calibri" w:hAnsi="Calibri" w:cs="Calibri"/>
          <w:sz w:val="22"/>
          <w:szCs w:val="22"/>
        </w:rPr>
        <w:t>(1): 113</w:t>
      </w:r>
      <w:r w:rsidR="006E6C01">
        <w:rPr>
          <w:rFonts w:cs="Arial"/>
          <w:szCs w:val="20"/>
        </w:rPr>
        <w:t>–</w:t>
      </w:r>
      <w:r w:rsidRPr="00082423">
        <w:rPr>
          <w:rFonts w:ascii="Calibri" w:hAnsi="Calibri" w:cs="Calibri"/>
          <w:sz w:val="22"/>
          <w:szCs w:val="22"/>
        </w:rPr>
        <w:t>121.</w:t>
      </w:r>
    </w:p>
    <w:p w14:paraId="76A0C898" w14:textId="2FF15E02" w:rsidR="00DE5C73" w:rsidRPr="00A703FB" w:rsidRDefault="00DE5C73" w:rsidP="00DE5C73">
      <w:pPr>
        <w:pStyle w:val="EndNoteBibliography"/>
        <w:spacing w:after="0"/>
        <w:ind w:left="720" w:hanging="720"/>
      </w:pPr>
      <w:r w:rsidRPr="00A703FB">
        <w:t>Sinwat, N., Angkittitrakul</w:t>
      </w:r>
      <w:r w:rsidR="00CA411A">
        <w:t xml:space="preserve"> S.</w:t>
      </w:r>
      <w:r w:rsidRPr="00A703FB">
        <w:t>, and Chuanchuen</w:t>
      </w:r>
      <w:r w:rsidR="00CA411A">
        <w:t xml:space="preserve"> R</w:t>
      </w:r>
      <w:r w:rsidRPr="00A703FB">
        <w:t xml:space="preserve">. 2015. Characterization of Antimicrobial Resistance in Salmonella enterica Isolated from </w:t>
      </w:r>
      <w:r w:rsidR="00CA411A">
        <w:t>p</w:t>
      </w:r>
      <w:r w:rsidRPr="00A703FB">
        <w:t xml:space="preserve">ork, </w:t>
      </w:r>
      <w:r w:rsidR="00CA411A">
        <w:t>c</w:t>
      </w:r>
      <w:r w:rsidRPr="00A703FB">
        <w:t xml:space="preserve">hicken </w:t>
      </w:r>
      <w:r w:rsidR="00CA411A">
        <w:t>m</w:t>
      </w:r>
      <w:r w:rsidRPr="00A703FB">
        <w:t xml:space="preserve">eat, and </w:t>
      </w:r>
      <w:r w:rsidR="00CA411A">
        <w:t>h</w:t>
      </w:r>
      <w:r w:rsidRPr="00A703FB">
        <w:t xml:space="preserve">umans in </w:t>
      </w:r>
      <w:r w:rsidR="00CA411A">
        <w:t>n</w:t>
      </w:r>
      <w:r w:rsidRPr="00A703FB">
        <w:t xml:space="preserve">ortheastern Thailand. </w:t>
      </w:r>
      <w:r w:rsidRPr="00A703FB">
        <w:rPr>
          <w:i/>
        </w:rPr>
        <w:t>Foodborne Pathog Dis</w:t>
      </w:r>
      <w:r w:rsidRPr="00A703FB">
        <w:t xml:space="preserve"> </w:t>
      </w:r>
      <w:r w:rsidRPr="001F623B">
        <w:rPr>
          <w:b/>
        </w:rPr>
        <w:t>12</w:t>
      </w:r>
      <w:r w:rsidRPr="00A703FB">
        <w:t>(9):</w:t>
      </w:r>
      <w:r w:rsidR="001D0604">
        <w:t xml:space="preserve"> </w:t>
      </w:r>
      <w:r w:rsidRPr="00A703FB">
        <w:t>759</w:t>
      </w:r>
      <w:r w:rsidR="006E6C01">
        <w:rPr>
          <w:rFonts w:cs="Arial"/>
          <w:szCs w:val="20"/>
        </w:rPr>
        <w:t>–</w:t>
      </w:r>
      <w:r w:rsidR="001D0604">
        <w:t>7</w:t>
      </w:r>
      <w:r w:rsidRPr="00A703FB">
        <w:t xml:space="preserve">65. </w:t>
      </w:r>
      <w:r w:rsidR="00CA411A">
        <w:t>DOI</w:t>
      </w:r>
      <w:r w:rsidRPr="00A703FB">
        <w:t>: 10.1089/fpd.2015.1946.</w:t>
      </w:r>
    </w:p>
    <w:p w14:paraId="113C7618" w14:textId="1E7401D6" w:rsidR="002073A2" w:rsidRPr="006A1956" w:rsidRDefault="002073A2" w:rsidP="001C49DF">
      <w:pPr>
        <w:pStyle w:val="EndNoteBibliography"/>
        <w:spacing w:after="0"/>
        <w:ind w:left="720" w:hanging="720"/>
      </w:pPr>
      <w:r w:rsidRPr="006A1956">
        <w:t>Van Boeckel, T.P., Brower</w:t>
      </w:r>
      <w:r w:rsidR="00CA411A">
        <w:t xml:space="preserve"> C.</w:t>
      </w:r>
      <w:r w:rsidRPr="006A1956">
        <w:t>, Gilbert</w:t>
      </w:r>
      <w:r w:rsidR="00CA411A">
        <w:t xml:space="preserve"> M.</w:t>
      </w:r>
      <w:r w:rsidRPr="006A1956">
        <w:t>, Grenfell</w:t>
      </w:r>
      <w:r w:rsidR="00CA411A">
        <w:t xml:space="preserve"> B.T.</w:t>
      </w:r>
      <w:r w:rsidRPr="006A1956">
        <w:t>, Levin</w:t>
      </w:r>
      <w:r w:rsidR="00CA411A">
        <w:t xml:space="preserve"> S.A.</w:t>
      </w:r>
      <w:r w:rsidRPr="006A1956">
        <w:t>, Robinson</w:t>
      </w:r>
      <w:r w:rsidR="00CA411A">
        <w:t xml:space="preserve"> T.P.</w:t>
      </w:r>
      <w:r w:rsidRPr="006A1956">
        <w:t>, Teillant</w:t>
      </w:r>
      <w:r w:rsidR="00CA411A">
        <w:t xml:space="preserve"> A.</w:t>
      </w:r>
      <w:r w:rsidRPr="006A1956">
        <w:t>, and Laxminarayan</w:t>
      </w:r>
      <w:r w:rsidR="00CA411A">
        <w:t>, R.</w:t>
      </w:r>
      <w:r w:rsidRPr="006A1956">
        <w:t xml:space="preserve">. 2015. Global trends in antimicrobial use in food animals. </w:t>
      </w:r>
      <w:r w:rsidRPr="006A1956">
        <w:rPr>
          <w:i/>
        </w:rPr>
        <w:t>Proceedings of the National Academy of Sciences of the United States of America</w:t>
      </w:r>
      <w:r w:rsidRPr="006A1956">
        <w:t xml:space="preserve"> </w:t>
      </w:r>
      <w:r w:rsidRPr="001F623B">
        <w:rPr>
          <w:b/>
        </w:rPr>
        <w:t>112</w:t>
      </w:r>
      <w:r w:rsidRPr="006A1956">
        <w:t>(18):5649</w:t>
      </w:r>
      <w:r w:rsidR="006E6C01">
        <w:rPr>
          <w:rFonts w:cs="Arial"/>
          <w:szCs w:val="20"/>
        </w:rPr>
        <w:t>–</w:t>
      </w:r>
      <w:r w:rsidRPr="006A1956">
        <w:t xml:space="preserve">5654. </w:t>
      </w:r>
      <w:r w:rsidR="00CA411A">
        <w:t>DOI</w:t>
      </w:r>
      <w:r w:rsidRPr="006A1956">
        <w:t>: 10.1073/pnas.1503141112.</w:t>
      </w:r>
    </w:p>
    <w:p w14:paraId="578B2865" w14:textId="23A880B4" w:rsidR="00EB3DCB" w:rsidRDefault="00EB3DCB" w:rsidP="00002D15">
      <w:pPr>
        <w:ind w:left="720" w:hanging="720"/>
        <w:rPr>
          <w:rFonts w:ascii="Calibri" w:hAnsi="Calibri" w:cs="Calibri"/>
          <w:sz w:val="22"/>
          <w:szCs w:val="22"/>
        </w:rPr>
      </w:pPr>
      <w:r w:rsidRPr="00EB3DCB">
        <w:rPr>
          <w:rFonts w:ascii="Calibri" w:hAnsi="Calibri" w:cs="Calibri"/>
          <w:sz w:val="22"/>
          <w:szCs w:val="22"/>
        </w:rPr>
        <w:t>Wang, Y, Lehane, C., Ghebrem</w:t>
      </w:r>
      <w:r>
        <w:rPr>
          <w:rFonts w:ascii="Calibri" w:hAnsi="Calibri" w:cs="Calibri"/>
          <w:sz w:val="22"/>
          <w:szCs w:val="22"/>
        </w:rPr>
        <w:t xml:space="preserve">eskel, K. and Crawford, M.A. </w:t>
      </w:r>
      <w:r w:rsidRPr="00EB3DCB">
        <w:rPr>
          <w:rFonts w:ascii="Calibri" w:hAnsi="Calibri" w:cs="Calibri"/>
          <w:sz w:val="22"/>
          <w:szCs w:val="22"/>
        </w:rPr>
        <w:t xml:space="preserve">2009. Modern organic and broiler chickens sold for human consumption provide more energy from fat than protein. </w:t>
      </w:r>
      <w:r w:rsidRPr="001F623B">
        <w:rPr>
          <w:rFonts w:ascii="Calibri" w:hAnsi="Calibri" w:cs="Calibri"/>
          <w:i/>
          <w:sz w:val="22"/>
          <w:szCs w:val="22"/>
        </w:rPr>
        <w:t>Public Health Nutrition</w:t>
      </w:r>
      <w:r w:rsidRPr="00EB3DCB">
        <w:rPr>
          <w:rFonts w:ascii="Calibri" w:hAnsi="Calibri" w:cs="Calibri"/>
          <w:sz w:val="22"/>
          <w:szCs w:val="22"/>
        </w:rPr>
        <w:t xml:space="preserve"> </w:t>
      </w:r>
      <w:r w:rsidRPr="00EB3DCB">
        <w:rPr>
          <w:rFonts w:ascii="Calibri" w:hAnsi="Calibri" w:cs="Calibri"/>
          <w:b/>
          <w:sz w:val="22"/>
          <w:szCs w:val="22"/>
        </w:rPr>
        <w:t>13</w:t>
      </w:r>
      <w:r w:rsidRPr="00EB3DCB">
        <w:rPr>
          <w:rFonts w:ascii="Calibri" w:hAnsi="Calibri" w:cs="Calibri"/>
          <w:sz w:val="22"/>
          <w:szCs w:val="22"/>
        </w:rPr>
        <w:t>(3): 400–408</w:t>
      </w:r>
      <w:r>
        <w:rPr>
          <w:rFonts w:ascii="Calibri" w:hAnsi="Calibri" w:cs="Calibri"/>
          <w:sz w:val="22"/>
          <w:szCs w:val="22"/>
        </w:rPr>
        <w:t>.</w:t>
      </w:r>
    </w:p>
    <w:p w14:paraId="109994F1" w14:textId="1E269B55" w:rsidR="00511562" w:rsidRDefault="00511562" w:rsidP="00002D15">
      <w:pPr>
        <w:ind w:left="720" w:hanging="720"/>
        <w:rPr>
          <w:rFonts w:ascii="Calibri" w:hAnsi="Calibri" w:cs="Calibri"/>
          <w:sz w:val="22"/>
          <w:szCs w:val="22"/>
        </w:rPr>
      </w:pPr>
      <w:r w:rsidRPr="00511562">
        <w:rPr>
          <w:rFonts w:ascii="Calibri" w:hAnsi="Calibri" w:cs="Calibri"/>
          <w:sz w:val="22"/>
          <w:szCs w:val="22"/>
        </w:rPr>
        <w:t xml:space="preserve">Whitmee, S., et al. 2015. Safeguarding human health in the Anthropocene epoch: report of </w:t>
      </w:r>
      <w:r w:rsidR="006E6C01">
        <w:rPr>
          <w:rFonts w:ascii="Calibri" w:hAnsi="Calibri" w:cs="Calibri"/>
          <w:sz w:val="22"/>
          <w:szCs w:val="22"/>
        </w:rPr>
        <w:t>t</w:t>
      </w:r>
      <w:r w:rsidRPr="00511562">
        <w:rPr>
          <w:rFonts w:ascii="Calibri" w:hAnsi="Calibri" w:cs="Calibri"/>
          <w:sz w:val="22"/>
          <w:szCs w:val="22"/>
        </w:rPr>
        <w:t xml:space="preserve">he Rockefeller Foundation–Lancet Commission on planetary health. </w:t>
      </w:r>
      <w:r w:rsidRPr="001F623B">
        <w:rPr>
          <w:rFonts w:ascii="Calibri" w:hAnsi="Calibri" w:cs="Calibri"/>
          <w:i/>
          <w:sz w:val="22"/>
          <w:szCs w:val="22"/>
        </w:rPr>
        <w:t>The Lancet</w:t>
      </w:r>
      <w:r w:rsidRPr="00511562">
        <w:rPr>
          <w:rFonts w:ascii="Calibri" w:hAnsi="Calibri" w:cs="Calibri"/>
          <w:sz w:val="22"/>
          <w:szCs w:val="22"/>
        </w:rPr>
        <w:t xml:space="preserve">. Available: </w:t>
      </w:r>
      <w:hyperlink r:id="rId17" w:history="1">
        <w:r w:rsidRPr="0035182E">
          <w:rPr>
            <w:rStyle w:val="Hyperlink"/>
            <w:rFonts w:ascii="Calibri" w:hAnsi="Calibri" w:cs="Calibri"/>
            <w:sz w:val="22"/>
            <w:szCs w:val="22"/>
          </w:rPr>
          <w:t>http://www.thelancet.com/pdfs/journals/lancet/PIIS0140-6736(15)60901-1.pdf</w:t>
        </w:r>
      </w:hyperlink>
      <w:r>
        <w:rPr>
          <w:rFonts w:ascii="Calibri" w:hAnsi="Calibri" w:cs="Calibri"/>
          <w:sz w:val="22"/>
          <w:szCs w:val="22"/>
        </w:rPr>
        <w:t xml:space="preserve"> </w:t>
      </w:r>
    </w:p>
    <w:p w14:paraId="6EF3AAC1" w14:textId="2A1060E0" w:rsidR="004F7522" w:rsidRDefault="004F7522" w:rsidP="004F7522">
      <w:pPr>
        <w:ind w:left="720" w:hanging="720"/>
        <w:rPr>
          <w:rFonts w:ascii="Calibri" w:hAnsi="Calibri" w:cs="Calibri"/>
          <w:sz w:val="22"/>
          <w:szCs w:val="22"/>
        </w:rPr>
      </w:pPr>
      <w:r>
        <w:rPr>
          <w:rFonts w:ascii="Calibri" w:hAnsi="Calibri" w:cs="Calibri"/>
          <w:sz w:val="22"/>
          <w:szCs w:val="22"/>
        </w:rPr>
        <w:t xml:space="preserve">WHO. 2017. </w:t>
      </w:r>
      <w:r w:rsidRPr="004F7522">
        <w:rPr>
          <w:rFonts w:ascii="Calibri" w:hAnsi="Calibri" w:cs="Calibri"/>
          <w:sz w:val="22"/>
          <w:szCs w:val="22"/>
        </w:rPr>
        <w:t>Worldwide prevalence o</w:t>
      </w:r>
      <w:r w:rsidR="001D0604">
        <w:rPr>
          <w:rFonts w:ascii="Calibri" w:hAnsi="Calibri" w:cs="Calibri"/>
          <w:sz w:val="22"/>
          <w:szCs w:val="22"/>
        </w:rPr>
        <w:t>f</w:t>
      </w:r>
      <w:r w:rsidRPr="004F7522">
        <w:rPr>
          <w:rFonts w:ascii="Calibri" w:hAnsi="Calibri" w:cs="Calibri"/>
          <w:sz w:val="22"/>
          <w:szCs w:val="22"/>
        </w:rPr>
        <w:t xml:space="preserve"> anaemia 1993</w:t>
      </w:r>
      <w:r w:rsidR="006E6C01">
        <w:rPr>
          <w:rFonts w:cs="Arial"/>
          <w:szCs w:val="20"/>
        </w:rPr>
        <w:t>–</w:t>
      </w:r>
      <w:r w:rsidRPr="004F7522">
        <w:rPr>
          <w:rFonts w:ascii="Calibri" w:hAnsi="Calibri" w:cs="Calibri"/>
          <w:sz w:val="22"/>
          <w:szCs w:val="22"/>
        </w:rPr>
        <w:t>2005: Summary of the worldwide prevalence on anaemia. Global Health Observatory data repository</w:t>
      </w:r>
      <w:r w:rsidR="001D0604">
        <w:rPr>
          <w:rFonts w:ascii="Calibri" w:hAnsi="Calibri" w:cs="Calibri"/>
          <w:sz w:val="22"/>
          <w:szCs w:val="22"/>
        </w:rPr>
        <w:t>,</w:t>
      </w:r>
      <w:r>
        <w:rPr>
          <w:rFonts w:ascii="Calibri" w:hAnsi="Calibri" w:cs="Calibri"/>
          <w:sz w:val="22"/>
          <w:szCs w:val="22"/>
        </w:rPr>
        <w:t xml:space="preserve"> </w:t>
      </w:r>
      <w:r w:rsidR="001D0604">
        <w:rPr>
          <w:rFonts w:ascii="Calibri" w:hAnsi="Calibri" w:cs="Calibri"/>
          <w:sz w:val="22"/>
          <w:szCs w:val="22"/>
        </w:rPr>
        <w:t>World Health Organization,</w:t>
      </w:r>
      <w:r w:rsidR="001D0604" w:rsidRPr="004F7522">
        <w:rPr>
          <w:rFonts w:ascii="Calibri" w:hAnsi="Calibri" w:cs="Calibri"/>
          <w:sz w:val="22"/>
          <w:szCs w:val="22"/>
        </w:rPr>
        <w:t xml:space="preserve"> Geneva. </w:t>
      </w:r>
      <w:r>
        <w:rPr>
          <w:rFonts w:ascii="Calibri" w:hAnsi="Calibri" w:cs="Calibri"/>
          <w:sz w:val="22"/>
          <w:szCs w:val="22"/>
        </w:rPr>
        <w:t xml:space="preserve">Available: </w:t>
      </w:r>
      <w:hyperlink r:id="rId18" w:history="1">
        <w:r w:rsidRPr="00F27269">
          <w:rPr>
            <w:rStyle w:val="Hyperlink"/>
            <w:rFonts w:ascii="Calibri" w:hAnsi="Calibri" w:cs="Calibri"/>
            <w:sz w:val="22"/>
            <w:szCs w:val="22"/>
          </w:rPr>
          <w:t>http://www.who.int/vmnis/database/anaemia/anaemia_status_summary/en/</w:t>
        </w:r>
      </w:hyperlink>
      <w:r>
        <w:rPr>
          <w:rFonts w:ascii="Calibri" w:hAnsi="Calibri" w:cs="Calibri"/>
          <w:sz w:val="22"/>
          <w:szCs w:val="22"/>
        </w:rPr>
        <w:t xml:space="preserve"> </w:t>
      </w:r>
    </w:p>
    <w:p w14:paraId="14EA99B7" w14:textId="77777777" w:rsidR="00002D15" w:rsidRPr="00151460" w:rsidRDefault="00002D15" w:rsidP="00151460">
      <w:pPr>
        <w:rPr>
          <w:rFonts w:ascii="Calibri" w:hAnsi="Calibri" w:cs="Calibri"/>
          <w:sz w:val="22"/>
          <w:szCs w:val="22"/>
        </w:rPr>
      </w:pPr>
    </w:p>
    <w:sectPr w:rsidR="00002D15" w:rsidRPr="00151460" w:rsidSect="00A877A2">
      <w:footerReference w:type="even" r:id="rId19"/>
      <w:pgSz w:w="11906" w:h="16838" w:code="9"/>
      <w:pgMar w:top="567" w:right="1304" w:bottom="454" w:left="130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14E2F6" w15:done="0"/>
  <w15:commentEx w15:paraId="7A53E37C" w15:done="0"/>
  <w15:commentEx w15:paraId="55D18B3F" w15:done="0"/>
  <w15:commentEx w15:paraId="557EC6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4E2F6" w16cid:durableId="1E05EE4A"/>
  <w16cid:commentId w16cid:paraId="7A53E37C" w16cid:durableId="1E05EFA1"/>
  <w16cid:commentId w16cid:paraId="55D18B3F" w16cid:durableId="1E0600EE"/>
  <w16cid:commentId w16cid:paraId="557EC60D" w16cid:durableId="1E05FC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D93A4" w14:textId="77777777" w:rsidR="00DC6877" w:rsidRDefault="00DC6877">
      <w:r>
        <w:separator/>
      </w:r>
    </w:p>
  </w:endnote>
  <w:endnote w:type="continuationSeparator" w:id="0">
    <w:p w14:paraId="304AD01E" w14:textId="77777777" w:rsidR="00DC6877" w:rsidRDefault="00DC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569F" w14:textId="77777777" w:rsidR="002624A3" w:rsidRDefault="002624A3" w:rsidP="00D55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EC5FC" w14:textId="77777777" w:rsidR="002624A3" w:rsidRDefault="002624A3" w:rsidP="00D55B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CF965" w14:textId="77777777" w:rsidR="00DC6877" w:rsidRDefault="00DC6877">
      <w:r>
        <w:separator/>
      </w:r>
    </w:p>
  </w:footnote>
  <w:footnote w:type="continuationSeparator" w:id="0">
    <w:p w14:paraId="5D2AEA09" w14:textId="77777777" w:rsidR="00DC6877" w:rsidRDefault="00DC6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8A4"/>
    <w:multiLevelType w:val="hybridMultilevel"/>
    <w:tmpl w:val="BD24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C1961"/>
    <w:multiLevelType w:val="hybridMultilevel"/>
    <w:tmpl w:val="133055D4"/>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23609B"/>
    <w:multiLevelType w:val="hybridMultilevel"/>
    <w:tmpl w:val="B6B4B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1F1CCA"/>
    <w:multiLevelType w:val="hybridMultilevel"/>
    <w:tmpl w:val="8760F3F4"/>
    <w:lvl w:ilvl="0" w:tplc="DAC695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87340"/>
    <w:multiLevelType w:val="hybridMultilevel"/>
    <w:tmpl w:val="4ABA356C"/>
    <w:lvl w:ilvl="0" w:tplc="E36A03E8">
      <w:start w:val="1"/>
      <w:numFmt w:val="upperLetter"/>
      <w:lvlText w:val="%1."/>
      <w:lvlJc w:val="left"/>
      <w:pPr>
        <w:tabs>
          <w:tab w:val="num" w:pos="1080"/>
        </w:tabs>
        <w:ind w:left="1080" w:hanging="360"/>
      </w:pPr>
      <w:rPr>
        <w:rFonts w:ascii="Verdana" w:hAnsi="Verdana" w:cs="Verdana" w:hint="default"/>
        <w:b w:val="0"/>
        <w:bCs w:val="0"/>
        <w:i w:val="0"/>
        <w:iCs w:val="0"/>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9862567"/>
    <w:multiLevelType w:val="multilevel"/>
    <w:tmpl w:val="5FA81638"/>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3E807011"/>
    <w:multiLevelType w:val="hybridMultilevel"/>
    <w:tmpl w:val="0ED8C810"/>
    <w:lvl w:ilvl="0" w:tplc="869CA324">
      <w:start w:val="1"/>
      <w:numFmt w:val="bullet"/>
      <w:lvlText w:val=""/>
      <w:lvlJc w:val="left"/>
      <w:pPr>
        <w:ind w:left="1180" w:hanging="360"/>
      </w:pPr>
      <w:rPr>
        <w:rFonts w:ascii="Symbol" w:eastAsia="Symbol" w:hAnsi="Symbol" w:hint="default"/>
        <w:sz w:val="24"/>
        <w:szCs w:val="24"/>
      </w:rPr>
    </w:lvl>
    <w:lvl w:ilvl="1" w:tplc="22300F74">
      <w:start w:val="1"/>
      <w:numFmt w:val="bullet"/>
      <w:lvlText w:val="•"/>
      <w:lvlJc w:val="left"/>
      <w:pPr>
        <w:ind w:left="2020" w:hanging="360"/>
      </w:pPr>
      <w:rPr>
        <w:rFonts w:hint="default"/>
      </w:rPr>
    </w:lvl>
    <w:lvl w:ilvl="2" w:tplc="106420CA">
      <w:start w:val="1"/>
      <w:numFmt w:val="bullet"/>
      <w:lvlText w:val="•"/>
      <w:lvlJc w:val="left"/>
      <w:pPr>
        <w:ind w:left="2860" w:hanging="360"/>
      </w:pPr>
      <w:rPr>
        <w:rFonts w:hint="default"/>
      </w:rPr>
    </w:lvl>
    <w:lvl w:ilvl="3" w:tplc="382C5F98">
      <w:start w:val="1"/>
      <w:numFmt w:val="bullet"/>
      <w:lvlText w:val="•"/>
      <w:lvlJc w:val="left"/>
      <w:pPr>
        <w:ind w:left="3700" w:hanging="360"/>
      </w:pPr>
      <w:rPr>
        <w:rFonts w:hint="default"/>
      </w:rPr>
    </w:lvl>
    <w:lvl w:ilvl="4" w:tplc="D3E22906">
      <w:start w:val="1"/>
      <w:numFmt w:val="bullet"/>
      <w:lvlText w:val="•"/>
      <w:lvlJc w:val="left"/>
      <w:pPr>
        <w:ind w:left="4540" w:hanging="360"/>
      </w:pPr>
      <w:rPr>
        <w:rFonts w:hint="default"/>
      </w:rPr>
    </w:lvl>
    <w:lvl w:ilvl="5" w:tplc="161C7F72">
      <w:start w:val="1"/>
      <w:numFmt w:val="bullet"/>
      <w:lvlText w:val="•"/>
      <w:lvlJc w:val="left"/>
      <w:pPr>
        <w:ind w:left="5380" w:hanging="360"/>
      </w:pPr>
      <w:rPr>
        <w:rFonts w:hint="default"/>
      </w:rPr>
    </w:lvl>
    <w:lvl w:ilvl="6" w:tplc="A1C23CBA">
      <w:start w:val="1"/>
      <w:numFmt w:val="bullet"/>
      <w:lvlText w:val="•"/>
      <w:lvlJc w:val="left"/>
      <w:pPr>
        <w:ind w:left="6220" w:hanging="360"/>
      </w:pPr>
      <w:rPr>
        <w:rFonts w:hint="default"/>
      </w:rPr>
    </w:lvl>
    <w:lvl w:ilvl="7" w:tplc="2EB669DA">
      <w:start w:val="1"/>
      <w:numFmt w:val="bullet"/>
      <w:lvlText w:val="•"/>
      <w:lvlJc w:val="left"/>
      <w:pPr>
        <w:ind w:left="7060" w:hanging="360"/>
      </w:pPr>
      <w:rPr>
        <w:rFonts w:hint="default"/>
      </w:rPr>
    </w:lvl>
    <w:lvl w:ilvl="8" w:tplc="4EE896B6">
      <w:start w:val="1"/>
      <w:numFmt w:val="bullet"/>
      <w:lvlText w:val="•"/>
      <w:lvlJc w:val="left"/>
      <w:pPr>
        <w:ind w:left="7900" w:hanging="360"/>
      </w:pPr>
      <w:rPr>
        <w:rFonts w:hint="default"/>
      </w:rPr>
    </w:lvl>
  </w:abstractNum>
  <w:abstractNum w:abstractNumId="7">
    <w:nsid w:val="3F125317"/>
    <w:multiLevelType w:val="hybridMultilevel"/>
    <w:tmpl w:val="0C7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D21FA"/>
    <w:multiLevelType w:val="hybridMultilevel"/>
    <w:tmpl w:val="338A7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707B2"/>
    <w:multiLevelType w:val="hybridMultilevel"/>
    <w:tmpl w:val="2E6A0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231BC"/>
    <w:multiLevelType w:val="hybridMultilevel"/>
    <w:tmpl w:val="78386E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B8546E"/>
    <w:multiLevelType w:val="hybridMultilevel"/>
    <w:tmpl w:val="413C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2173A"/>
    <w:multiLevelType w:val="hybridMultilevel"/>
    <w:tmpl w:val="998E5192"/>
    <w:lvl w:ilvl="0" w:tplc="5E34594E">
      <w:start w:val="1"/>
      <w:numFmt w:val="bullet"/>
      <w:lvlText w:val=""/>
      <w:lvlJc w:val="left"/>
      <w:pPr>
        <w:tabs>
          <w:tab w:val="num" w:pos="360"/>
        </w:tabs>
        <w:ind w:left="360" w:hanging="360"/>
      </w:pPr>
      <w:rPr>
        <w:rFonts w:ascii="Symbol" w:hAnsi="Symbol" w:cs="Cordia New" w:hint="default"/>
        <w:b w:val="0"/>
        <w:bCs w:val="0"/>
        <w:i w:val="0"/>
        <w:iCs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346702"/>
    <w:multiLevelType w:val="hybridMultilevel"/>
    <w:tmpl w:val="01BE1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BB50CC"/>
    <w:multiLevelType w:val="hybridMultilevel"/>
    <w:tmpl w:val="EA5C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16666"/>
    <w:multiLevelType w:val="hybridMultilevel"/>
    <w:tmpl w:val="24A893F8"/>
    <w:lvl w:ilvl="0" w:tplc="FBF46C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D144E8"/>
    <w:multiLevelType w:val="hybridMultilevel"/>
    <w:tmpl w:val="5D561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3D0D1E"/>
    <w:multiLevelType w:val="hybridMultilevel"/>
    <w:tmpl w:val="F10C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53998"/>
    <w:multiLevelType w:val="hybridMultilevel"/>
    <w:tmpl w:val="9AC85934"/>
    <w:lvl w:ilvl="0" w:tplc="5E34594E">
      <w:start w:val="1"/>
      <w:numFmt w:val="bullet"/>
      <w:lvlText w:val=""/>
      <w:lvlJc w:val="left"/>
      <w:pPr>
        <w:tabs>
          <w:tab w:val="num" w:pos="360"/>
        </w:tabs>
        <w:ind w:left="360" w:hanging="360"/>
      </w:pPr>
      <w:rPr>
        <w:rFonts w:ascii="Symbol" w:hAnsi="Symbol" w:cs="Cordia New" w:hint="default"/>
        <w:b w:val="0"/>
        <w:bCs w:val="0"/>
        <w:i w:val="0"/>
        <w:iCs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FA020E"/>
    <w:multiLevelType w:val="hybridMultilevel"/>
    <w:tmpl w:val="0CCA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63DC4"/>
    <w:multiLevelType w:val="hybridMultilevel"/>
    <w:tmpl w:val="8768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
  </w:num>
  <w:num w:numId="4">
    <w:abstractNumId w:val="3"/>
  </w:num>
  <w:num w:numId="5">
    <w:abstractNumId w:val="10"/>
  </w:num>
  <w:num w:numId="6">
    <w:abstractNumId w:val="18"/>
  </w:num>
  <w:num w:numId="7">
    <w:abstractNumId w:val="12"/>
  </w:num>
  <w:num w:numId="8">
    <w:abstractNumId w:val="4"/>
  </w:num>
  <w:num w:numId="9">
    <w:abstractNumId w:val="5"/>
  </w:num>
  <w:num w:numId="10">
    <w:abstractNumId w:val="9"/>
  </w:num>
  <w:num w:numId="11">
    <w:abstractNumId w:val="14"/>
  </w:num>
  <w:num w:numId="12">
    <w:abstractNumId w:val="16"/>
  </w:num>
  <w:num w:numId="13">
    <w:abstractNumId w:val="6"/>
  </w:num>
  <w:num w:numId="14">
    <w:abstractNumId w:val="20"/>
  </w:num>
  <w:num w:numId="15">
    <w:abstractNumId w:val="17"/>
  </w:num>
  <w:num w:numId="16">
    <w:abstractNumId w:val="8"/>
  </w:num>
  <w:num w:numId="17">
    <w:abstractNumId w:val="11"/>
  </w:num>
  <w:num w:numId="18">
    <w:abstractNumId w:val="7"/>
  </w:num>
  <w:num w:numId="19">
    <w:abstractNumId w:val="0"/>
  </w:num>
  <w:num w:numId="20">
    <w:abstractNumId w:val="19"/>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Nunn">
    <w15:presenceInfo w15:providerId="None" w15:userId="Mike Nu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0A"/>
    <w:rsid w:val="00002D15"/>
    <w:rsid w:val="00010AE4"/>
    <w:rsid w:val="0001679C"/>
    <w:rsid w:val="000202E1"/>
    <w:rsid w:val="0002605D"/>
    <w:rsid w:val="00036C85"/>
    <w:rsid w:val="00040387"/>
    <w:rsid w:val="00040943"/>
    <w:rsid w:val="00044BA7"/>
    <w:rsid w:val="00082423"/>
    <w:rsid w:val="00091ABE"/>
    <w:rsid w:val="000B2B1D"/>
    <w:rsid w:val="000B760E"/>
    <w:rsid w:val="000C0BD5"/>
    <w:rsid w:val="000C0DFC"/>
    <w:rsid w:val="000C34F7"/>
    <w:rsid w:val="000D4FBD"/>
    <w:rsid w:val="000D69BB"/>
    <w:rsid w:val="00106AB6"/>
    <w:rsid w:val="00107F70"/>
    <w:rsid w:val="001214F0"/>
    <w:rsid w:val="0013766B"/>
    <w:rsid w:val="00145199"/>
    <w:rsid w:val="00151460"/>
    <w:rsid w:val="0015191C"/>
    <w:rsid w:val="00153243"/>
    <w:rsid w:val="00167BF3"/>
    <w:rsid w:val="001823F3"/>
    <w:rsid w:val="00196516"/>
    <w:rsid w:val="001A279A"/>
    <w:rsid w:val="001A4675"/>
    <w:rsid w:val="001A4EE7"/>
    <w:rsid w:val="001A667B"/>
    <w:rsid w:val="001C49DF"/>
    <w:rsid w:val="001D0604"/>
    <w:rsid w:val="001D0CA9"/>
    <w:rsid w:val="001D0E27"/>
    <w:rsid w:val="001D1F18"/>
    <w:rsid w:val="001D4E4A"/>
    <w:rsid w:val="001E4013"/>
    <w:rsid w:val="001F1E77"/>
    <w:rsid w:val="001F5BE8"/>
    <w:rsid w:val="001F623B"/>
    <w:rsid w:val="001F63E0"/>
    <w:rsid w:val="002073A2"/>
    <w:rsid w:val="0021760B"/>
    <w:rsid w:val="00222587"/>
    <w:rsid w:val="0023386D"/>
    <w:rsid w:val="0025013C"/>
    <w:rsid w:val="0025089A"/>
    <w:rsid w:val="00257458"/>
    <w:rsid w:val="002624A3"/>
    <w:rsid w:val="00272D7D"/>
    <w:rsid w:val="00282DF1"/>
    <w:rsid w:val="00291451"/>
    <w:rsid w:val="002A20DC"/>
    <w:rsid w:val="002B40F5"/>
    <w:rsid w:val="002B4CCB"/>
    <w:rsid w:val="002B63FB"/>
    <w:rsid w:val="002B6F91"/>
    <w:rsid w:val="002C246F"/>
    <w:rsid w:val="002D0558"/>
    <w:rsid w:val="002F55A1"/>
    <w:rsid w:val="003159BE"/>
    <w:rsid w:val="00331762"/>
    <w:rsid w:val="00347011"/>
    <w:rsid w:val="00350C2C"/>
    <w:rsid w:val="00352A61"/>
    <w:rsid w:val="00352B99"/>
    <w:rsid w:val="003712FD"/>
    <w:rsid w:val="003715B5"/>
    <w:rsid w:val="003808D0"/>
    <w:rsid w:val="00381B3C"/>
    <w:rsid w:val="00393953"/>
    <w:rsid w:val="0039457D"/>
    <w:rsid w:val="00396687"/>
    <w:rsid w:val="00397953"/>
    <w:rsid w:val="003A19E7"/>
    <w:rsid w:val="003A2B0B"/>
    <w:rsid w:val="003A30E2"/>
    <w:rsid w:val="003B29E2"/>
    <w:rsid w:val="003C118A"/>
    <w:rsid w:val="003C1CA6"/>
    <w:rsid w:val="003C4A28"/>
    <w:rsid w:val="003D278D"/>
    <w:rsid w:val="003D4BC6"/>
    <w:rsid w:val="00401C21"/>
    <w:rsid w:val="004120D2"/>
    <w:rsid w:val="004175CB"/>
    <w:rsid w:val="00417851"/>
    <w:rsid w:val="00422FE2"/>
    <w:rsid w:val="0042534F"/>
    <w:rsid w:val="004263F9"/>
    <w:rsid w:val="00431143"/>
    <w:rsid w:val="00447BEF"/>
    <w:rsid w:val="00450932"/>
    <w:rsid w:val="00462796"/>
    <w:rsid w:val="00483397"/>
    <w:rsid w:val="00492F5C"/>
    <w:rsid w:val="0049357E"/>
    <w:rsid w:val="004A44BF"/>
    <w:rsid w:val="004A784B"/>
    <w:rsid w:val="004B086B"/>
    <w:rsid w:val="004C38A8"/>
    <w:rsid w:val="004D17D7"/>
    <w:rsid w:val="004D4BCE"/>
    <w:rsid w:val="004D77F7"/>
    <w:rsid w:val="004F7522"/>
    <w:rsid w:val="0050570F"/>
    <w:rsid w:val="00505FCA"/>
    <w:rsid w:val="00506EB0"/>
    <w:rsid w:val="00511562"/>
    <w:rsid w:val="005171E9"/>
    <w:rsid w:val="005346ED"/>
    <w:rsid w:val="0054156F"/>
    <w:rsid w:val="0055012C"/>
    <w:rsid w:val="00550779"/>
    <w:rsid w:val="005547A7"/>
    <w:rsid w:val="00561680"/>
    <w:rsid w:val="00574C4F"/>
    <w:rsid w:val="00574DE7"/>
    <w:rsid w:val="00577584"/>
    <w:rsid w:val="0058534B"/>
    <w:rsid w:val="00585FEB"/>
    <w:rsid w:val="005B03AA"/>
    <w:rsid w:val="005B3F9E"/>
    <w:rsid w:val="005C2214"/>
    <w:rsid w:val="005D15B7"/>
    <w:rsid w:val="005D2475"/>
    <w:rsid w:val="005E0ABB"/>
    <w:rsid w:val="005E4ADB"/>
    <w:rsid w:val="005E785B"/>
    <w:rsid w:val="005F58F3"/>
    <w:rsid w:val="00600820"/>
    <w:rsid w:val="00602208"/>
    <w:rsid w:val="00611C1B"/>
    <w:rsid w:val="0062485C"/>
    <w:rsid w:val="00626AC1"/>
    <w:rsid w:val="00632E1D"/>
    <w:rsid w:val="006428E6"/>
    <w:rsid w:val="006442C8"/>
    <w:rsid w:val="006468F7"/>
    <w:rsid w:val="00651F5A"/>
    <w:rsid w:val="00665064"/>
    <w:rsid w:val="00665AB8"/>
    <w:rsid w:val="00665B27"/>
    <w:rsid w:val="00682785"/>
    <w:rsid w:val="0069053A"/>
    <w:rsid w:val="006A78D3"/>
    <w:rsid w:val="006B57E8"/>
    <w:rsid w:val="006B5DDD"/>
    <w:rsid w:val="006E13E6"/>
    <w:rsid w:val="006E6C01"/>
    <w:rsid w:val="007227E6"/>
    <w:rsid w:val="0073161C"/>
    <w:rsid w:val="00734348"/>
    <w:rsid w:val="00734F6C"/>
    <w:rsid w:val="007546C4"/>
    <w:rsid w:val="0075767E"/>
    <w:rsid w:val="00761A65"/>
    <w:rsid w:val="007630CE"/>
    <w:rsid w:val="0076568F"/>
    <w:rsid w:val="00767E11"/>
    <w:rsid w:val="007711DD"/>
    <w:rsid w:val="007717C0"/>
    <w:rsid w:val="007907D9"/>
    <w:rsid w:val="00790BE4"/>
    <w:rsid w:val="00790F54"/>
    <w:rsid w:val="007C0EB8"/>
    <w:rsid w:val="007C18E0"/>
    <w:rsid w:val="007C2EBF"/>
    <w:rsid w:val="007C4589"/>
    <w:rsid w:val="007D2639"/>
    <w:rsid w:val="007D36FE"/>
    <w:rsid w:val="007D75B8"/>
    <w:rsid w:val="007E1FA9"/>
    <w:rsid w:val="007E754F"/>
    <w:rsid w:val="007E7D8D"/>
    <w:rsid w:val="008059E3"/>
    <w:rsid w:val="008147FC"/>
    <w:rsid w:val="00814BFB"/>
    <w:rsid w:val="00817DC2"/>
    <w:rsid w:val="00820ED0"/>
    <w:rsid w:val="00822231"/>
    <w:rsid w:val="008307E2"/>
    <w:rsid w:val="008338CE"/>
    <w:rsid w:val="008443E4"/>
    <w:rsid w:val="008444A6"/>
    <w:rsid w:val="008565BC"/>
    <w:rsid w:val="00867EA2"/>
    <w:rsid w:val="0088257D"/>
    <w:rsid w:val="00890530"/>
    <w:rsid w:val="008911EF"/>
    <w:rsid w:val="008920C1"/>
    <w:rsid w:val="008924CC"/>
    <w:rsid w:val="008935E4"/>
    <w:rsid w:val="008A1F37"/>
    <w:rsid w:val="008C39F0"/>
    <w:rsid w:val="008C6AC1"/>
    <w:rsid w:val="008D1FC5"/>
    <w:rsid w:val="008E0FC4"/>
    <w:rsid w:val="008E66DC"/>
    <w:rsid w:val="008F1C75"/>
    <w:rsid w:val="00903FEB"/>
    <w:rsid w:val="009071B6"/>
    <w:rsid w:val="00915F4A"/>
    <w:rsid w:val="00925F52"/>
    <w:rsid w:val="009343A2"/>
    <w:rsid w:val="009444B4"/>
    <w:rsid w:val="00945E20"/>
    <w:rsid w:val="0095132F"/>
    <w:rsid w:val="0096401B"/>
    <w:rsid w:val="009822C9"/>
    <w:rsid w:val="00987790"/>
    <w:rsid w:val="009935EC"/>
    <w:rsid w:val="009B6C5F"/>
    <w:rsid w:val="009C3FFB"/>
    <w:rsid w:val="009C4C17"/>
    <w:rsid w:val="009C5502"/>
    <w:rsid w:val="009D1E3A"/>
    <w:rsid w:val="009E2BE9"/>
    <w:rsid w:val="009F1EE5"/>
    <w:rsid w:val="009F6D38"/>
    <w:rsid w:val="00A03A55"/>
    <w:rsid w:val="00A04F43"/>
    <w:rsid w:val="00A067F0"/>
    <w:rsid w:val="00A06C8F"/>
    <w:rsid w:val="00A15218"/>
    <w:rsid w:val="00A22B6C"/>
    <w:rsid w:val="00A33145"/>
    <w:rsid w:val="00A3727A"/>
    <w:rsid w:val="00A55C30"/>
    <w:rsid w:val="00A60B83"/>
    <w:rsid w:val="00A720D3"/>
    <w:rsid w:val="00A73B70"/>
    <w:rsid w:val="00A75F89"/>
    <w:rsid w:val="00A877A2"/>
    <w:rsid w:val="00A94AF9"/>
    <w:rsid w:val="00A97D52"/>
    <w:rsid w:val="00AB3629"/>
    <w:rsid w:val="00AC3DF6"/>
    <w:rsid w:val="00AF3A9C"/>
    <w:rsid w:val="00B06783"/>
    <w:rsid w:val="00B143FD"/>
    <w:rsid w:val="00B1726D"/>
    <w:rsid w:val="00B17B0A"/>
    <w:rsid w:val="00B17E32"/>
    <w:rsid w:val="00B32886"/>
    <w:rsid w:val="00B400E8"/>
    <w:rsid w:val="00B46260"/>
    <w:rsid w:val="00B63B8F"/>
    <w:rsid w:val="00B84B5B"/>
    <w:rsid w:val="00B87545"/>
    <w:rsid w:val="00B903B3"/>
    <w:rsid w:val="00B92AA7"/>
    <w:rsid w:val="00BA41C1"/>
    <w:rsid w:val="00BC5C9C"/>
    <w:rsid w:val="00BC683F"/>
    <w:rsid w:val="00BD67BA"/>
    <w:rsid w:val="00C0398E"/>
    <w:rsid w:val="00C0765B"/>
    <w:rsid w:val="00C201DC"/>
    <w:rsid w:val="00C27E6E"/>
    <w:rsid w:val="00C555AF"/>
    <w:rsid w:val="00C6102D"/>
    <w:rsid w:val="00C80E82"/>
    <w:rsid w:val="00C81F1A"/>
    <w:rsid w:val="00C83CBD"/>
    <w:rsid w:val="00C856D0"/>
    <w:rsid w:val="00C953FC"/>
    <w:rsid w:val="00CA411A"/>
    <w:rsid w:val="00CD4325"/>
    <w:rsid w:val="00CD6062"/>
    <w:rsid w:val="00CD6BA7"/>
    <w:rsid w:val="00CF154F"/>
    <w:rsid w:val="00CF7DC3"/>
    <w:rsid w:val="00D0076B"/>
    <w:rsid w:val="00D05BA8"/>
    <w:rsid w:val="00D17F73"/>
    <w:rsid w:val="00D30EB2"/>
    <w:rsid w:val="00D3410B"/>
    <w:rsid w:val="00D34AC7"/>
    <w:rsid w:val="00D45A9D"/>
    <w:rsid w:val="00D474BE"/>
    <w:rsid w:val="00D5551F"/>
    <w:rsid w:val="00D55B0A"/>
    <w:rsid w:val="00D60383"/>
    <w:rsid w:val="00D649AE"/>
    <w:rsid w:val="00D767C4"/>
    <w:rsid w:val="00D77059"/>
    <w:rsid w:val="00D80085"/>
    <w:rsid w:val="00D82417"/>
    <w:rsid w:val="00D90886"/>
    <w:rsid w:val="00D90F98"/>
    <w:rsid w:val="00DA3B07"/>
    <w:rsid w:val="00DA3DF8"/>
    <w:rsid w:val="00DA6295"/>
    <w:rsid w:val="00DB045D"/>
    <w:rsid w:val="00DB2BE7"/>
    <w:rsid w:val="00DB3A58"/>
    <w:rsid w:val="00DC3C09"/>
    <w:rsid w:val="00DC6190"/>
    <w:rsid w:val="00DC6877"/>
    <w:rsid w:val="00DE5C73"/>
    <w:rsid w:val="00DE6ABC"/>
    <w:rsid w:val="00DE736B"/>
    <w:rsid w:val="00DF2526"/>
    <w:rsid w:val="00E01E22"/>
    <w:rsid w:val="00E0453E"/>
    <w:rsid w:val="00E109B2"/>
    <w:rsid w:val="00E1126C"/>
    <w:rsid w:val="00E22F15"/>
    <w:rsid w:val="00E24266"/>
    <w:rsid w:val="00E32503"/>
    <w:rsid w:val="00E3626C"/>
    <w:rsid w:val="00E41757"/>
    <w:rsid w:val="00E72970"/>
    <w:rsid w:val="00E72E34"/>
    <w:rsid w:val="00E82B4C"/>
    <w:rsid w:val="00E9075F"/>
    <w:rsid w:val="00EB3DCB"/>
    <w:rsid w:val="00EB44BD"/>
    <w:rsid w:val="00EE3D16"/>
    <w:rsid w:val="00EF3844"/>
    <w:rsid w:val="00F01CAF"/>
    <w:rsid w:val="00F10F4B"/>
    <w:rsid w:val="00F12332"/>
    <w:rsid w:val="00F15AC3"/>
    <w:rsid w:val="00F16732"/>
    <w:rsid w:val="00F20CC1"/>
    <w:rsid w:val="00F24FFD"/>
    <w:rsid w:val="00F263C1"/>
    <w:rsid w:val="00F31B07"/>
    <w:rsid w:val="00F34B47"/>
    <w:rsid w:val="00F438BE"/>
    <w:rsid w:val="00F47DC4"/>
    <w:rsid w:val="00F53271"/>
    <w:rsid w:val="00F673D2"/>
    <w:rsid w:val="00F71981"/>
    <w:rsid w:val="00F76757"/>
    <w:rsid w:val="00F771FB"/>
    <w:rsid w:val="00F82743"/>
    <w:rsid w:val="00F83BC3"/>
    <w:rsid w:val="00F954F6"/>
    <w:rsid w:val="00F96061"/>
    <w:rsid w:val="00FB336F"/>
    <w:rsid w:val="00FB523B"/>
    <w:rsid w:val="00FC168D"/>
    <w:rsid w:val="00FD0BEA"/>
    <w:rsid w:val="00FD2ECF"/>
    <w:rsid w:val="00FD47E1"/>
    <w:rsid w:val="00FF3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6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B0A"/>
    <w:rPr>
      <w:sz w:val="24"/>
      <w:szCs w:val="28"/>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B0A"/>
    <w:pPr>
      <w:tabs>
        <w:tab w:val="center" w:pos="4320"/>
        <w:tab w:val="right" w:pos="8640"/>
      </w:tabs>
    </w:pPr>
  </w:style>
  <w:style w:type="character" w:styleId="PageNumber">
    <w:name w:val="page number"/>
    <w:basedOn w:val="DefaultParagraphFont"/>
    <w:rsid w:val="00D55B0A"/>
  </w:style>
  <w:style w:type="table" w:styleId="TableGrid">
    <w:name w:val="Table Grid"/>
    <w:basedOn w:val="TableNormal"/>
    <w:rsid w:val="00D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760B"/>
    <w:rPr>
      <w:color w:val="0000FF"/>
      <w:u w:val="single"/>
    </w:rPr>
  </w:style>
  <w:style w:type="paragraph" w:styleId="BalloonText">
    <w:name w:val="Balloon Text"/>
    <w:basedOn w:val="Normal"/>
    <w:semiHidden/>
    <w:rsid w:val="006B57E8"/>
    <w:rPr>
      <w:rFonts w:ascii="Tahoma" w:hAnsi="Tahoma"/>
      <w:sz w:val="16"/>
      <w:szCs w:val="18"/>
    </w:rPr>
  </w:style>
  <w:style w:type="paragraph" w:styleId="Header">
    <w:name w:val="header"/>
    <w:basedOn w:val="Normal"/>
    <w:rsid w:val="005F58F3"/>
    <w:pPr>
      <w:tabs>
        <w:tab w:val="center" w:pos="4153"/>
        <w:tab w:val="right" w:pos="8306"/>
      </w:tabs>
    </w:pPr>
  </w:style>
  <w:style w:type="paragraph" w:styleId="ListParagraph">
    <w:name w:val="List Paragraph"/>
    <w:basedOn w:val="Normal"/>
    <w:uiPriority w:val="34"/>
    <w:qFormat/>
    <w:rsid w:val="00BD67BA"/>
    <w:pPr>
      <w:ind w:left="720"/>
    </w:pPr>
  </w:style>
  <w:style w:type="character" w:customStyle="1" w:styleId="FooterChar">
    <w:name w:val="Footer Char"/>
    <w:link w:val="Footer"/>
    <w:uiPriority w:val="99"/>
    <w:rsid w:val="00A97D52"/>
    <w:rPr>
      <w:sz w:val="24"/>
      <w:szCs w:val="28"/>
    </w:rPr>
  </w:style>
  <w:style w:type="paragraph" w:styleId="BodyText">
    <w:name w:val="Body Text"/>
    <w:basedOn w:val="Normal"/>
    <w:link w:val="BodyTextChar"/>
    <w:uiPriority w:val="1"/>
    <w:qFormat/>
    <w:rsid w:val="007E7D8D"/>
    <w:pPr>
      <w:widowControl w:val="0"/>
      <w:ind w:left="100"/>
    </w:pPr>
    <w:rPr>
      <w:rFonts w:ascii="Calibri" w:eastAsia="Calibri" w:hAnsi="Calibri" w:cs="Cordia New"/>
      <w:szCs w:val="24"/>
      <w:lang w:bidi="ar-SA"/>
    </w:rPr>
  </w:style>
  <w:style w:type="character" w:customStyle="1" w:styleId="BodyTextChar">
    <w:name w:val="Body Text Char"/>
    <w:link w:val="BodyText"/>
    <w:uiPriority w:val="1"/>
    <w:rsid w:val="007E7D8D"/>
    <w:rPr>
      <w:rFonts w:ascii="Calibri" w:eastAsia="Calibri" w:hAnsi="Calibri" w:cs="Cordia New"/>
      <w:sz w:val="24"/>
      <w:szCs w:val="24"/>
    </w:rPr>
  </w:style>
  <w:style w:type="character" w:customStyle="1" w:styleId="gmail-m7484732344654115327gmail-m4638536368642212332rpc41">
    <w:name w:val="gmail-m_7484732344654115327gmail-m_4638536368642212332_rpc_41"/>
    <w:rsid w:val="006428E6"/>
  </w:style>
  <w:style w:type="paragraph" w:customStyle="1" w:styleId="Default">
    <w:name w:val="Default"/>
    <w:rsid w:val="00BA41C1"/>
    <w:pPr>
      <w:autoSpaceDE w:val="0"/>
      <w:autoSpaceDN w:val="0"/>
      <w:adjustRightInd w:val="0"/>
    </w:pPr>
    <w:rPr>
      <w:rFonts w:ascii="Franklin Gothic Book" w:hAnsi="Franklin Gothic Book" w:cs="Franklin Gothic Book"/>
      <w:color w:val="000000"/>
      <w:sz w:val="24"/>
      <w:szCs w:val="24"/>
      <w:lang w:val="en-US" w:eastAsia="en-US"/>
    </w:rPr>
  </w:style>
  <w:style w:type="paragraph" w:styleId="NormalWeb">
    <w:name w:val="Normal (Web)"/>
    <w:basedOn w:val="Normal"/>
    <w:uiPriority w:val="99"/>
    <w:unhideWhenUsed/>
    <w:rsid w:val="00A03A55"/>
    <w:rPr>
      <w:rFonts w:eastAsia="Calibri" w:cs="Times New Roman"/>
      <w:szCs w:val="24"/>
      <w:lang w:bidi="ar-SA"/>
    </w:rPr>
  </w:style>
  <w:style w:type="character" w:styleId="CommentReference">
    <w:name w:val="annotation reference"/>
    <w:rsid w:val="004C38A8"/>
    <w:rPr>
      <w:sz w:val="16"/>
      <w:szCs w:val="16"/>
    </w:rPr>
  </w:style>
  <w:style w:type="paragraph" w:styleId="CommentText">
    <w:name w:val="annotation text"/>
    <w:basedOn w:val="Normal"/>
    <w:link w:val="CommentTextChar"/>
    <w:rsid w:val="004C38A8"/>
    <w:rPr>
      <w:sz w:val="20"/>
      <w:szCs w:val="25"/>
    </w:rPr>
  </w:style>
  <w:style w:type="character" w:customStyle="1" w:styleId="CommentTextChar">
    <w:name w:val="Comment Text Char"/>
    <w:link w:val="CommentText"/>
    <w:rsid w:val="004C38A8"/>
    <w:rPr>
      <w:szCs w:val="25"/>
      <w:lang w:bidi="th-TH"/>
    </w:rPr>
  </w:style>
  <w:style w:type="paragraph" w:styleId="CommentSubject">
    <w:name w:val="annotation subject"/>
    <w:basedOn w:val="CommentText"/>
    <w:next w:val="CommentText"/>
    <w:link w:val="CommentSubjectChar"/>
    <w:rsid w:val="004C38A8"/>
    <w:rPr>
      <w:b/>
      <w:bCs/>
    </w:rPr>
  </w:style>
  <w:style w:type="character" w:customStyle="1" w:styleId="CommentSubjectChar">
    <w:name w:val="Comment Subject Char"/>
    <w:link w:val="CommentSubject"/>
    <w:rsid w:val="004C38A8"/>
    <w:rPr>
      <w:b/>
      <w:bCs/>
      <w:szCs w:val="25"/>
      <w:lang w:bidi="th-TH"/>
    </w:rPr>
  </w:style>
  <w:style w:type="paragraph" w:customStyle="1" w:styleId="EndNoteBibliography">
    <w:name w:val="EndNote Bibliography"/>
    <w:basedOn w:val="Normal"/>
    <w:link w:val="EndNoteBibliographyChar"/>
    <w:rsid w:val="002C246F"/>
    <w:pPr>
      <w:spacing w:after="160"/>
    </w:pPr>
    <w:rPr>
      <w:rFonts w:ascii="Calibri" w:eastAsia="Calibri" w:hAnsi="Calibri" w:cs="Calibri"/>
      <w:noProof/>
      <w:sz w:val="22"/>
      <w:szCs w:val="22"/>
      <w:lang w:bidi="ar-SA"/>
    </w:rPr>
  </w:style>
  <w:style w:type="character" w:customStyle="1" w:styleId="EndNoteBibliographyChar">
    <w:name w:val="EndNote Bibliography Char"/>
    <w:link w:val="EndNoteBibliography"/>
    <w:rsid w:val="002C246F"/>
    <w:rPr>
      <w:rFonts w:ascii="Calibri" w:eastAsia="Calibri" w:hAnsi="Calibri" w:cs="Calibri"/>
      <w:noProof/>
      <w:sz w:val="22"/>
      <w:szCs w:val="22"/>
      <w:lang w:val="en-US" w:eastAsia="en-US"/>
    </w:rPr>
  </w:style>
  <w:style w:type="character" w:customStyle="1" w:styleId="UnresolvedMention">
    <w:name w:val="Unresolved Mention"/>
    <w:uiPriority w:val="99"/>
    <w:semiHidden/>
    <w:unhideWhenUsed/>
    <w:rsid w:val="00282D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B0A"/>
    <w:rPr>
      <w:sz w:val="24"/>
      <w:szCs w:val="28"/>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B0A"/>
    <w:pPr>
      <w:tabs>
        <w:tab w:val="center" w:pos="4320"/>
        <w:tab w:val="right" w:pos="8640"/>
      </w:tabs>
    </w:pPr>
  </w:style>
  <w:style w:type="character" w:styleId="PageNumber">
    <w:name w:val="page number"/>
    <w:basedOn w:val="DefaultParagraphFont"/>
    <w:rsid w:val="00D55B0A"/>
  </w:style>
  <w:style w:type="table" w:styleId="TableGrid">
    <w:name w:val="Table Grid"/>
    <w:basedOn w:val="TableNormal"/>
    <w:rsid w:val="00D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760B"/>
    <w:rPr>
      <w:color w:val="0000FF"/>
      <w:u w:val="single"/>
    </w:rPr>
  </w:style>
  <w:style w:type="paragraph" w:styleId="BalloonText">
    <w:name w:val="Balloon Text"/>
    <w:basedOn w:val="Normal"/>
    <w:semiHidden/>
    <w:rsid w:val="006B57E8"/>
    <w:rPr>
      <w:rFonts w:ascii="Tahoma" w:hAnsi="Tahoma"/>
      <w:sz w:val="16"/>
      <w:szCs w:val="18"/>
    </w:rPr>
  </w:style>
  <w:style w:type="paragraph" w:styleId="Header">
    <w:name w:val="header"/>
    <w:basedOn w:val="Normal"/>
    <w:rsid w:val="005F58F3"/>
    <w:pPr>
      <w:tabs>
        <w:tab w:val="center" w:pos="4153"/>
        <w:tab w:val="right" w:pos="8306"/>
      </w:tabs>
    </w:pPr>
  </w:style>
  <w:style w:type="paragraph" w:styleId="ListParagraph">
    <w:name w:val="List Paragraph"/>
    <w:basedOn w:val="Normal"/>
    <w:uiPriority w:val="34"/>
    <w:qFormat/>
    <w:rsid w:val="00BD67BA"/>
    <w:pPr>
      <w:ind w:left="720"/>
    </w:pPr>
  </w:style>
  <w:style w:type="character" w:customStyle="1" w:styleId="FooterChar">
    <w:name w:val="Footer Char"/>
    <w:link w:val="Footer"/>
    <w:uiPriority w:val="99"/>
    <w:rsid w:val="00A97D52"/>
    <w:rPr>
      <w:sz w:val="24"/>
      <w:szCs w:val="28"/>
    </w:rPr>
  </w:style>
  <w:style w:type="paragraph" w:styleId="BodyText">
    <w:name w:val="Body Text"/>
    <w:basedOn w:val="Normal"/>
    <w:link w:val="BodyTextChar"/>
    <w:uiPriority w:val="1"/>
    <w:qFormat/>
    <w:rsid w:val="007E7D8D"/>
    <w:pPr>
      <w:widowControl w:val="0"/>
      <w:ind w:left="100"/>
    </w:pPr>
    <w:rPr>
      <w:rFonts w:ascii="Calibri" w:eastAsia="Calibri" w:hAnsi="Calibri" w:cs="Cordia New"/>
      <w:szCs w:val="24"/>
      <w:lang w:bidi="ar-SA"/>
    </w:rPr>
  </w:style>
  <w:style w:type="character" w:customStyle="1" w:styleId="BodyTextChar">
    <w:name w:val="Body Text Char"/>
    <w:link w:val="BodyText"/>
    <w:uiPriority w:val="1"/>
    <w:rsid w:val="007E7D8D"/>
    <w:rPr>
      <w:rFonts w:ascii="Calibri" w:eastAsia="Calibri" w:hAnsi="Calibri" w:cs="Cordia New"/>
      <w:sz w:val="24"/>
      <w:szCs w:val="24"/>
    </w:rPr>
  </w:style>
  <w:style w:type="character" w:customStyle="1" w:styleId="gmail-m7484732344654115327gmail-m4638536368642212332rpc41">
    <w:name w:val="gmail-m_7484732344654115327gmail-m_4638536368642212332_rpc_41"/>
    <w:rsid w:val="006428E6"/>
  </w:style>
  <w:style w:type="paragraph" w:customStyle="1" w:styleId="Default">
    <w:name w:val="Default"/>
    <w:rsid w:val="00BA41C1"/>
    <w:pPr>
      <w:autoSpaceDE w:val="0"/>
      <w:autoSpaceDN w:val="0"/>
      <w:adjustRightInd w:val="0"/>
    </w:pPr>
    <w:rPr>
      <w:rFonts w:ascii="Franklin Gothic Book" w:hAnsi="Franklin Gothic Book" w:cs="Franklin Gothic Book"/>
      <w:color w:val="000000"/>
      <w:sz w:val="24"/>
      <w:szCs w:val="24"/>
      <w:lang w:val="en-US" w:eastAsia="en-US"/>
    </w:rPr>
  </w:style>
  <w:style w:type="paragraph" w:styleId="NormalWeb">
    <w:name w:val="Normal (Web)"/>
    <w:basedOn w:val="Normal"/>
    <w:uiPriority w:val="99"/>
    <w:unhideWhenUsed/>
    <w:rsid w:val="00A03A55"/>
    <w:rPr>
      <w:rFonts w:eastAsia="Calibri" w:cs="Times New Roman"/>
      <w:szCs w:val="24"/>
      <w:lang w:bidi="ar-SA"/>
    </w:rPr>
  </w:style>
  <w:style w:type="character" w:styleId="CommentReference">
    <w:name w:val="annotation reference"/>
    <w:rsid w:val="004C38A8"/>
    <w:rPr>
      <w:sz w:val="16"/>
      <w:szCs w:val="16"/>
    </w:rPr>
  </w:style>
  <w:style w:type="paragraph" w:styleId="CommentText">
    <w:name w:val="annotation text"/>
    <w:basedOn w:val="Normal"/>
    <w:link w:val="CommentTextChar"/>
    <w:rsid w:val="004C38A8"/>
    <w:rPr>
      <w:sz w:val="20"/>
      <w:szCs w:val="25"/>
    </w:rPr>
  </w:style>
  <w:style w:type="character" w:customStyle="1" w:styleId="CommentTextChar">
    <w:name w:val="Comment Text Char"/>
    <w:link w:val="CommentText"/>
    <w:rsid w:val="004C38A8"/>
    <w:rPr>
      <w:szCs w:val="25"/>
      <w:lang w:bidi="th-TH"/>
    </w:rPr>
  </w:style>
  <w:style w:type="paragraph" w:styleId="CommentSubject">
    <w:name w:val="annotation subject"/>
    <w:basedOn w:val="CommentText"/>
    <w:next w:val="CommentText"/>
    <w:link w:val="CommentSubjectChar"/>
    <w:rsid w:val="004C38A8"/>
    <w:rPr>
      <w:b/>
      <w:bCs/>
    </w:rPr>
  </w:style>
  <w:style w:type="character" w:customStyle="1" w:styleId="CommentSubjectChar">
    <w:name w:val="Comment Subject Char"/>
    <w:link w:val="CommentSubject"/>
    <w:rsid w:val="004C38A8"/>
    <w:rPr>
      <w:b/>
      <w:bCs/>
      <w:szCs w:val="25"/>
      <w:lang w:bidi="th-TH"/>
    </w:rPr>
  </w:style>
  <w:style w:type="paragraph" w:customStyle="1" w:styleId="EndNoteBibliography">
    <w:name w:val="EndNote Bibliography"/>
    <w:basedOn w:val="Normal"/>
    <w:link w:val="EndNoteBibliographyChar"/>
    <w:rsid w:val="002C246F"/>
    <w:pPr>
      <w:spacing w:after="160"/>
    </w:pPr>
    <w:rPr>
      <w:rFonts w:ascii="Calibri" w:eastAsia="Calibri" w:hAnsi="Calibri" w:cs="Calibri"/>
      <w:noProof/>
      <w:sz w:val="22"/>
      <w:szCs w:val="22"/>
      <w:lang w:bidi="ar-SA"/>
    </w:rPr>
  </w:style>
  <w:style w:type="character" w:customStyle="1" w:styleId="EndNoteBibliographyChar">
    <w:name w:val="EndNote Bibliography Char"/>
    <w:link w:val="EndNoteBibliography"/>
    <w:rsid w:val="002C246F"/>
    <w:rPr>
      <w:rFonts w:ascii="Calibri" w:eastAsia="Calibri" w:hAnsi="Calibri" w:cs="Calibri"/>
      <w:noProof/>
      <w:sz w:val="22"/>
      <w:szCs w:val="22"/>
      <w:lang w:val="en-US" w:eastAsia="en-US"/>
    </w:rPr>
  </w:style>
  <w:style w:type="character" w:customStyle="1" w:styleId="UnresolvedMention">
    <w:name w:val="Unresolved Mention"/>
    <w:uiPriority w:val="99"/>
    <w:semiHidden/>
    <w:unhideWhenUsed/>
    <w:rsid w:val="00282D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74135">
      <w:bodyDiv w:val="1"/>
      <w:marLeft w:val="0"/>
      <w:marRight w:val="0"/>
      <w:marTop w:val="0"/>
      <w:marBottom w:val="0"/>
      <w:divBdr>
        <w:top w:val="none" w:sz="0" w:space="0" w:color="auto"/>
        <w:left w:val="none" w:sz="0" w:space="0" w:color="auto"/>
        <w:bottom w:val="none" w:sz="0" w:space="0" w:color="auto"/>
        <w:right w:val="none" w:sz="0" w:space="0" w:color="auto"/>
      </w:divBdr>
    </w:div>
    <w:div w:id="1477141421">
      <w:bodyDiv w:val="1"/>
      <w:marLeft w:val="0"/>
      <w:marRight w:val="0"/>
      <w:marTop w:val="0"/>
      <w:marBottom w:val="0"/>
      <w:divBdr>
        <w:top w:val="none" w:sz="0" w:space="0" w:color="auto"/>
        <w:left w:val="none" w:sz="0" w:space="0" w:color="auto"/>
        <w:bottom w:val="none" w:sz="0" w:space="0" w:color="auto"/>
        <w:right w:val="none" w:sz="0" w:space="0" w:color="auto"/>
      </w:divBdr>
    </w:div>
    <w:div w:id="1477844408">
      <w:bodyDiv w:val="1"/>
      <w:marLeft w:val="0"/>
      <w:marRight w:val="0"/>
      <w:marTop w:val="0"/>
      <w:marBottom w:val="0"/>
      <w:divBdr>
        <w:top w:val="none" w:sz="0" w:space="0" w:color="auto"/>
        <w:left w:val="none" w:sz="0" w:space="0" w:color="auto"/>
        <w:bottom w:val="none" w:sz="0" w:space="0" w:color="auto"/>
        <w:right w:val="none" w:sz="0" w:space="0" w:color="auto"/>
      </w:divBdr>
    </w:div>
    <w:div w:id="1540703938">
      <w:bodyDiv w:val="1"/>
      <w:marLeft w:val="0"/>
      <w:marRight w:val="0"/>
      <w:marTop w:val="0"/>
      <w:marBottom w:val="0"/>
      <w:divBdr>
        <w:top w:val="none" w:sz="0" w:space="0" w:color="auto"/>
        <w:left w:val="none" w:sz="0" w:space="0" w:color="auto"/>
        <w:bottom w:val="none" w:sz="0" w:space="0" w:color="auto"/>
        <w:right w:val="none" w:sz="0" w:space="0" w:color="auto"/>
      </w:divBdr>
    </w:div>
    <w:div w:id="20865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fileadmin/templates/wsfs/docs/Issues_papers/HLEF2050_Global_Agriculture.pdf" TargetMode="External"/><Relationship Id="rId18" Type="http://schemas.openxmlformats.org/officeDocument/2006/relationships/hyperlink" Target="http://www.who.int/vmnis/database/anaemia/anaemia_status_summary/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fat.gov.au/aid/how-we-measure-performance/ode/Documents/a-window-of-opportunity-australian-aid-and-child-undernutrition-2015-ode-brief.pdf" TargetMode="External"/><Relationship Id="rId17" Type="http://schemas.openxmlformats.org/officeDocument/2006/relationships/hyperlink" Target="http://www.thelancet.com/pdfs/journals/lancet/PIIS0140-6736(15)60901-1.pdf" TargetMode="External"/><Relationship Id="rId2" Type="http://schemas.openxmlformats.org/officeDocument/2006/relationships/numbering" Target="numbering.xml"/><Relationship Id="rId16" Type="http://schemas.openxmlformats.org/officeDocument/2006/relationships/hyperlink" Target="https://amr-review.org/sites/default/files/160525_Final%20paper_with%20cov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rger.com/Article/Pdf/452381"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dx.doi.org/10.3402/iee.v5.30048" TargetMode="External"/><Relationship Id="rId23" Type="http://schemas.microsoft.com/office/2011/relationships/people" Target="people.xml"/><Relationship Id="rId10" Type="http://schemas.openxmlformats.org/officeDocument/2006/relationships/hyperlink" Target="https://planetaryhealthannualmeeting.org/2017-2/nutrition-201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yn.alders@sydney.edu.au" TargetMode="External"/><Relationship Id="rId14" Type="http://schemas.openxmlformats.org/officeDocument/2006/relationships/hyperlink" Target="http://www.glopan.org/sites/default/files/Global%20Panel%20Technical%20Brief%20Final.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4112-310C-4813-807D-8A395848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Summary</vt:lpstr>
    </vt:vector>
  </TitlesOfParts>
  <Company>HOME</Company>
  <LinksUpToDate>false</LinksUpToDate>
  <CharactersWithSpaces>21039</CharactersWithSpaces>
  <SharedDoc>false</SharedDoc>
  <HLinks>
    <vt:vector size="60" baseType="variant">
      <vt:variant>
        <vt:i4>2359403</vt:i4>
      </vt:variant>
      <vt:variant>
        <vt:i4>30</vt:i4>
      </vt:variant>
      <vt:variant>
        <vt:i4>0</vt:i4>
      </vt:variant>
      <vt:variant>
        <vt:i4>5</vt:i4>
      </vt:variant>
      <vt:variant>
        <vt:lpwstr>http://www.who.int/vmnis/database/anaemia/anaemia_status_summary/en/</vt:lpwstr>
      </vt:variant>
      <vt:variant>
        <vt:lpwstr/>
      </vt:variant>
      <vt:variant>
        <vt:i4>2490412</vt:i4>
      </vt:variant>
      <vt:variant>
        <vt:i4>27</vt:i4>
      </vt:variant>
      <vt:variant>
        <vt:i4>0</vt:i4>
      </vt:variant>
      <vt:variant>
        <vt:i4>5</vt:i4>
      </vt:variant>
      <vt:variant>
        <vt:lpwstr>http://www.thelancet.com/pdfs/journals/lancet/PIIS0140-6736(15)60901-1.pdf</vt:lpwstr>
      </vt:variant>
      <vt:variant>
        <vt:lpwstr/>
      </vt:variant>
      <vt:variant>
        <vt:i4>4390981</vt:i4>
      </vt:variant>
      <vt:variant>
        <vt:i4>24</vt:i4>
      </vt:variant>
      <vt:variant>
        <vt:i4>0</vt:i4>
      </vt:variant>
      <vt:variant>
        <vt:i4>5</vt:i4>
      </vt:variant>
      <vt:variant>
        <vt:lpwstr>https://amr-review.org/sites/default/files/160525_Final paper_with cover.pdf</vt:lpwstr>
      </vt:variant>
      <vt:variant>
        <vt:lpwstr/>
      </vt:variant>
      <vt:variant>
        <vt:i4>2359357</vt:i4>
      </vt:variant>
      <vt:variant>
        <vt:i4>18</vt:i4>
      </vt:variant>
      <vt:variant>
        <vt:i4>0</vt:i4>
      </vt:variant>
      <vt:variant>
        <vt:i4>5</vt:i4>
      </vt:variant>
      <vt:variant>
        <vt:lpwstr>http://dx.doi.org/10.3402/iee.v5.30048</vt:lpwstr>
      </vt:variant>
      <vt:variant>
        <vt:lpwstr/>
      </vt:variant>
      <vt:variant>
        <vt:i4>983065</vt:i4>
      </vt:variant>
      <vt:variant>
        <vt:i4>15</vt:i4>
      </vt:variant>
      <vt:variant>
        <vt:i4>0</vt:i4>
      </vt:variant>
      <vt:variant>
        <vt:i4>5</vt:i4>
      </vt:variant>
      <vt:variant>
        <vt:lpwstr>http://www.glopan.org/sites/default/files/Global Panel Technical Brief Final.pdf</vt:lpwstr>
      </vt:variant>
      <vt:variant>
        <vt:lpwstr/>
      </vt:variant>
      <vt:variant>
        <vt:i4>6815833</vt:i4>
      </vt:variant>
      <vt:variant>
        <vt:i4>12</vt:i4>
      </vt:variant>
      <vt:variant>
        <vt:i4>0</vt:i4>
      </vt:variant>
      <vt:variant>
        <vt:i4>5</vt:i4>
      </vt:variant>
      <vt:variant>
        <vt:lpwstr>http://www.fao.org/fileadmin/templates/wsfs/docs/Issues_papers/HLEF2050_Global_Agriculture.pdf</vt:lpwstr>
      </vt:variant>
      <vt:variant>
        <vt:lpwstr/>
      </vt:variant>
      <vt:variant>
        <vt:i4>2621541</vt:i4>
      </vt:variant>
      <vt:variant>
        <vt:i4>9</vt:i4>
      </vt:variant>
      <vt:variant>
        <vt:i4>0</vt:i4>
      </vt:variant>
      <vt:variant>
        <vt:i4>5</vt:i4>
      </vt:variant>
      <vt:variant>
        <vt:lpwstr>https://dfat.gov.au/aid/how-we-measure-performance/ode/Documents/a-window-of-opportunity-australian-aid-and-child-undernutrition-2015-ode-brief.pdf</vt:lpwstr>
      </vt:variant>
      <vt:variant>
        <vt:lpwstr/>
      </vt:variant>
      <vt:variant>
        <vt:i4>589895</vt:i4>
      </vt:variant>
      <vt:variant>
        <vt:i4>6</vt:i4>
      </vt:variant>
      <vt:variant>
        <vt:i4>0</vt:i4>
      </vt:variant>
      <vt:variant>
        <vt:i4>5</vt:i4>
      </vt:variant>
      <vt:variant>
        <vt:lpwstr>https://www.karger.com/Article/Pdf/452381</vt:lpwstr>
      </vt:variant>
      <vt:variant>
        <vt:lpwstr/>
      </vt:variant>
      <vt:variant>
        <vt:i4>4128884</vt:i4>
      </vt:variant>
      <vt:variant>
        <vt:i4>3</vt:i4>
      </vt:variant>
      <vt:variant>
        <vt:i4>0</vt:i4>
      </vt:variant>
      <vt:variant>
        <vt:i4>5</vt:i4>
      </vt:variant>
      <vt:variant>
        <vt:lpwstr>https://planetaryhealthannualmeeting.org/2017-2/nutrition-2017/</vt:lpwstr>
      </vt:variant>
      <vt:variant>
        <vt:lpwstr/>
      </vt:variant>
      <vt:variant>
        <vt:i4>3407902</vt:i4>
      </vt:variant>
      <vt:variant>
        <vt:i4>0</vt:i4>
      </vt:variant>
      <vt:variant>
        <vt:i4>0</vt:i4>
      </vt:variant>
      <vt:variant>
        <vt:i4>5</vt:i4>
      </vt:variant>
      <vt:variant>
        <vt:lpwstr>mailto:robyn.alders@sydney.edu.au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Walaiporn</dc:creator>
  <cp:lastModifiedBy>Administrator</cp:lastModifiedBy>
  <cp:revision>2</cp:revision>
  <cp:lastPrinted>2017-12-02T18:28:00Z</cp:lastPrinted>
  <dcterms:created xsi:type="dcterms:W3CDTF">2018-01-29T13:21:00Z</dcterms:created>
  <dcterms:modified xsi:type="dcterms:W3CDTF">2018-01-29T13:21:00Z</dcterms:modified>
</cp:coreProperties>
</file>